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lang w:eastAsia="zh-CN"/>
        </w:rPr>
        <w:t>宝能金融大厦</w:t>
      </w:r>
      <w:r>
        <w:rPr>
          <w:rFonts w:hint="eastAsia" w:ascii="Times New Roman" w:hAnsi="Times New Roman" w:eastAsia="宋体" w:cs="Times New Roman"/>
          <w:b/>
          <w:sz w:val="36"/>
          <w:szCs w:val="36"/>
        </w:rPr>
        <w:t>建设项目竣工环境保护验收意见</w:t>
      </w:r>
    </w:p>
    <w:p>
      <w:pPr>
        <w:widowControl/>
        <w:spacing w:line="560" w:lineRule="exact"/>
        <w:jc w:val="center"/>
        <w:outlineLvl w:val="0"/>
        <w:rPr>
          <w:rFonts w:ascii="方正小标宋简体" w:hAnsi="微软雅黑" w:eastAsia="方正小标宋简体" w:cs="宋体"/>
          <w:b/>
          <w:bCs/>
          <w:kern w:val="0"/>
          <w:sz w:val="30"/>
          <w:szCs w:val="30"/>
        </w:rPr>
      </w:pPr>
    </w:p>
    <w:p>
      <w:pPr>
        <w:spacing w:line="360" w:lineRule="auto"/>
        <w:ind w:firstLine="480" w:firstLineChars="200"/>
        <w:rPr>
          <w:rFonts w:ascii="Times New Roman" w:cs="Times New Roman" w:hAnsiTheme="minorEastAsia"/>
          <w:bCs/>
          <w:sz w:val="24"/>
          <w:szCs w:val="24"/>
        </w:rPr>
      </w:pPr>
      <w:r>
        <w:rPr>
          <w:rFonts w:hint="eastAsia" w:ascii="Times New Roman" w:cs="Times New Roman" w:hAnsiTheme="minorEastAsia"/>
          <w:bCs/>
          <w:sz w:val="24"/>
          <w:szCs w:val="24"/>
          <w:lang w:eastAsia="zh-CN"/>
        </w:rPr>
        <w:t>佛山市宝能投资有限公司</w:t>
      </w:r>
      <w:r>
        <w:rPr>
          <w:rFonts w:hint="eastAsia" w:ascii="Times New Roman" w:cs="Times New Roman" w:hAnsiTheme="minorEastAsia"/>
          <w:bCs/>
          <w:sz w:val="24"/>
          <w:szCs w:val="24"/>
        </w:rPr>
        <w:t>于</w:t>
      </w:r>
      <w:r>
        <w:rPr>
          <w:rFonts w:ascii="Times New Roman" w:hAnsi="Times New Roman" w:cs="Times New Roman"/>
          <w:sz w:val="24"/>
          <w:szCs w:val="24"/>
        </w:rPr>
        <w:t>20</w:t>
      </w:r>
      <w:r>
        <w:rPr>
          <w:rFonts w:hint="eastAsia" w:ascii="Times New Roman" w:hAnsi="Times New Roman" w:cs="Times New Roman"/>
          <w:sz w:val="24"/>
          <w:szCs w:val="24"/>
        </w:rPr>
        <w:t>20</w:t>
      </w:r>
      <w:r>
        <w:rPr>
          <w:rFonts w:ascii="Times New Roman" w:cs="Times New Roman" w:hAnsiTheme="minorEastAsia"/>
          <w:sz w:val="24"/>
          <w:szCs w:val="24"/>
        </w:rPr>
        <w:t>年</w:t>
      </w:r>
      <w:r>
        <w:rPr>
          <w:rFonts w:hint="eastAsia" w:ascii="Times New Roman" w:hAnsi="Times New Roman" w:cs="Times New Roman"/>
          <w:sz w:val="24"/>
          <w:szCs w:val="24"/>
          <w:lang w:val="en-US" w:eastAsia="zh-CN"/>
        </w:rPr>
        <w:t>7</w:t>
      </w:r>
      <w:r>
        <w:rPr>
          <w:rFonts w:ascii="Times New Roman" w:cs="Times New Roman" w:hAnsiTheme="minorEastAsia"/>
          <w:sz w:val="24"/>
          <w:szCs w:val="24"/>
        </w:rPr>
        <w:t>月</w:t>
      </w:r>
      <w:r>
        <w:rPr>
          <w:rFonts w:hint="eastAsia" w:ascii="Times New Roman" w:hAnsi="Times New Roman" w:cs="Times New Roman"/>
          <w:sz w:val="24"/>
          <w:szCs w:val="24"/>
          <w:lang w:val="en-US" w:eastAsia="zh-CN"/>
        </w:rPr>
        <w:t>14</w:t>
      </w:r>
      <w:r>
        <w:rPr>
          <w:rFonts w:ascii="Times New Roman" w:cs="Times New Roman" w:hAnsiTheme="minorEastAsia"/>
          <w:sz w:val="24"/>
          <w:szCs w:val="24"/>
        </w:rPr>
        <w:t>日</w:t>
      </w:r>
      <w:r>
        <w:rPr>
          <w:rFonts w:hint="eastAsia" w:ascii="Times New Roman" w:cs="Times New Roman" w:hAnsiTheme="minorEastAsia"/>
          <w:sz w:val="24"/>
          <w:szCs w:val="24"/>
        </w:rPr>
        <w:t>组成</w:t>
      </w:r>
      <w:r>
        <w:rPr>
          <w:rFonts w:ascii="Times New Roman" w:cs="Times New Roman" w:hAnsiTheme="minorEastAsia"/>
          <w:sz w:val="24"/>
          <w:szCs w:val="24"/>
        </w:rPr>
        <w:t>验收组对</w:t>
      </w:r>
      <w:r>
        <w:rPr>
          <w:rFonts w:hint="eastAsia" w:ascii="Times New Roman" w:cs="Times New Roman" w:hAnsiTheme="minorEastAsia"/>
          <w:sz w:val="24"/>
          <w:szCs w:val="24"/>
          <w:lang w:eastAsia="zh-CN"/>
        </w:rPr>
        <w:t>宝能金融大厦建设项目</w:t>
      </w:r>
      <w:r>
        <w:rPr>
          <w:rFonts w:hint="eastAsia" w:ascii="Times New Roman" w:cs="Times New Roman" w:hAnsiTheme="minorEastAsia"/>
          <w:bCs/>
          <w:sz w:val="24"/>
          <w:szCs w:val="24"/>
        </w:rPr>
        <w:t>进行了</w:t>
      </w:r>
      <w:r>
        <w:rPr>
          <w:rFonts w:ascii="Times New Roman" w:cs="Times New Roman" w:hAnsiTheme="minorEastAsia"/>
          <w:bCs/>
          <w:sz w:val="24"/>
          <w:szCs w:val="24"/>
        </w:rPr>
        <w:t>竣工环境保护验收。验收</w:t>
      </w:r>
      <w:r>
        <w:rPr>
          <w:rFonts w:hint="eastAsia" w:ascii="Times New Roman" w:cs="Times New Roman" w:hAnsiTheme="minorEastAsia"/>
          <w:bCs/>
          <w:sz w:val="24"/>
          <w:szCs w:val="24"/>
        </w:rPr>
        <w:t>组由</w:t>
      </w:r>
      <w:r>
        <w:rPr>
          <w:rFonts w:ascii="Times New Roman" w:cs="Times New Roman" w:hAnsiTheme="minorEastAsia"/>
          <w:bCs/>
          <w:sz w:val="24"/>
          <w:szCs w:val="24"/>
        </w:rPr>
        <w:t>建设单位</w:t>
      </w:r>
      <w:r>
        <w:rPr>
          <w:rFonts w:hint="eastAsia" w:ascii="Times New Roman" w:cs="Times New Roman" w:hAnsiTheme="minorEastAsia"/>
          <w:bCs/>
          <w:sz w:val="24"/>
          <w:szCs w:val="24"/>
          <w:lang w:eastAsia="zh-CN"/>
        </w:rPr>
        <w:t>佛山市宝能投资有限公司</w:t>
      </w:r>
      <w:r>
        <w:rPr>
          <w:rFonts w:hint="eastAsia" w:ascii="Times New Roman" w:cs="Times New Roman" w:hAnsiTheme="minorEastAsia"/>
          <w:bCs/>
          <w:sz w:val="24"/>
          <w:szCs w:val="24"/>
        </w:rPr>
        <w:t>、</w:t>
      </w:r>
      <w:r>
        <w:rPr>
          <w:rFonts w:ascii="Times New Roman" w:cs="Times New Roman" w:hAnsiTheme="minorEastAsia"/>
          <w:bCs/>
          <w:sz w:val="24"/>
          <w:szCs w:val="24"/>
        </w:rPr>
        <w:t>验收调查表编制单位</w:t>
      </w:r>
      <w:r>
        <w:rPr>
          <w:rFonts w:hint="eastAsia" w:ascii="Times New Roman" w:cs="Times New Roman" w:hAnsiTheme="minorEastAsia"/>
          <w:bCs/>
          <w:sz w:val="24"/>
          <w:szCs w:val="24"/>
        </w:rPr>
        <w:t>广东顺德环境科学研究院有限公司</w:t>
      </w:r>
      <w:r>
        <w:rPr>
          <w:rFonts w:ascii="Times New Roman" w:cs="Times New Roman" w:hAnsiTheme="minorEastAsia"/>
          <w:bCs/>
          <w:sz w:val="24"/>
          <w:szCs w:val="24"/>
        </w:rPr>
        <w:t>等单位的代表组成。</w:t>
      </w:r>
      <w:r>
        <w:rPr>
          <w:rFonts w:hint="eastAsia" w:ascii="Times New Roman" w:cs="Times New Roman" w:hAnsiTheme="minorEastAsia"/>
          <w:bCs/>
          <w:sz w:val="24"/>
          <w:szCs w:val="24"/>
        </w:rPr>
        <w:t>经</w:t>
      </w:r>
      <w:r>
        <w:rPr>
          <w:rFonts w:ascii="Times New Roman" w:cs="Times New Roman" w:hAnsiTheme="minorEastAsia"/>
          <w:bCs/>
          <w:sz w:val="24"/>
          <w:szCs w:val="24"/>
        </w:rPr>
        <w:t>认真讨论、审议，形成</w:t>
      </w:r>
      <w:r>
        <w:rPr>
          <w:rFonts w:hint="eastAsia" w:ascii="Times New Roman" w:cs="Times New Roman" w:hAnsiTheme="minorEastAsia"/>
          <w:sz w:val="24"/>
          <w:szCs w:val="24"/>
        </w:rPr>
        <w:t>竣工环境</w:t>
      </w:r>
      <w:r>
        <w:rPr>
          <w:rFonts w:ascii="Times New Roman" w:cs="Times New Roman" w:hAnsiTheme="minorEastAsia"/>
          <w:sz w:val="24"/>
          <w:szCs w:val="24"/>
        </w:rPr>
        <w:t>保护验收意见如下：</w:t>
      </w:r>
      <w:r>
        <w:rPr>
          <w:rFonts w:ascii="Times New Roman" w:hAnsi="Times New Roman" w:cs="Times New Roman"/>
          <w:sz w:val="24"/>
          <w:szCs w:val="24"/>
        </w:rPr>
        <w:t> </w:t>
      </w:r>
    </w:p>
    <w:p>
      <w:pPr>
        <w:spacing w:line="360" w:lineRule="auto"/>
        <w:ind w:firstLine="480" w:firstLineChars="200"/>
        <w:outlineLvl w:val="0"/>
        <w:rPr>
          <w:rFonts w:ascii="Times New Roman" w:hAnsi="Times New Roman" w:cs="Times New Roman"/>
          <w:b/>
          <w:bCs/>
          <w:sz w:val="24"/>
          <w:szCs w:val="24"/>
        </w:rPr>
      </w:pPr>
      <w:r>
        <w:rPr>
          <w:rFonts w:ascii="Times New Roman" w:cs="Times New Roman" w:hAnsiTheme="minorEastAsia"/>
          <w:b/>
          <w:bCs/>
          <w:sz w:val="24"/>
          <w:szCs w:val="24"/>
        </w:rPr>
        <w:t>一、</w:t>
      </w:r>
      <w:r>
        <w:rPr>
          <w:rFonts w:hint="eastAsia" w:ascii="Times New Roman" w:cs="Times New Roman" w:hAnsiTheme="minorEastAsia"/>
          <w:b/>
          <w:bCs/>
          <w:sz w:val="24"/>
          <w:szCs w:val="24"/>
        </w:rPr>
        <w:t>项目</w:t>
      </w:r>
      <w:r>
        <w:rPr>
          <w:rFonts w:ascii="Times New Roman" w:cs="Times New Roman" w:hAnsiTheme="minorEastAsia"/>
          <w:b/>
          <w:bCs/>
          <w:sz w:val="24"/>
          <w:szCs w:val="24"/>
        </w:rPr>
        <w:t>基本情况</w:t>
      </w:r>
    </w:p>
    <w:p>
      <w:pPr>
        <w:spacing w:line="360" w:lineRule="auto"/>
        <w:ind w:firstLine="480" w:firstLineChars="200"/>
        <w:rPr>
          <w:rFonts w:hint="eastAsia"/>
          <w:sz w:val="24"/>
          <w:szCs w:val="24"/>
          <w:lang w:eastAsia="zh-CN"/>
        </w:rPr>
      </w:pPr>
      <w:r>
        <w:rPr>
          <w:rFonts w:hint="eastAsia"/>
          <w:sz w:val="24"/>
          <w:lang w:eastAsia="zh-CN"/>
        </w:rPr>
        <w:t>由佛山市宝能投资有限公司开发建设的宝能金融大厦建设项目位于佛山市顺德区乐从镇东平居委会君兰路8号。本次针对宝能金融大厦建设项目整体范围进行竣工环境保护验收，以下称“本项</w:t>
      </w:r>
      <w:r>
        <w:rPr>
          <w:rFonts w:hint="eastAsia"/>
          <w:sz w:val="24"/>
          <w:szCs w:val="24"/>
          <w:lang w:eastAsia="zh-CN"/>
        </w:rPr>
        <w:t>目”。</w:t>
      </w:r>
      <w:r>
        <w:rPr>
          <w:rFonts w:hint="eastAsia"/>
          <w:color w:val="auto"/>
          <w:sz w:val="24"/>
          <w:szCs w:val="24"/>
        </w:rPr>
        <w:t>本项目</w:t>
      </w:r>
      <w:r>
        <w:rPr>
          <w:color w:val="auto"/>
          <w:sz w:val="24"/>
          <w:szCs w:val="24"/>
        </w:rPr>
        <w:t>总投资</w:t>
      </w:r>
      <w:r>
        <w:rPr>
          <w:rFonts w:hint="eastAsia"/>
          <w:color w:val="auto"/>
          <w:sz w:val="24"/>
          <w:szCs w:val="24"/>
          <w:lang w:val="en-US" w:eastAsia="zh-CN"/>
        </w:rPr>
        <w:t>9.5亿</w:t>
      </w:r>
      <w:r>
        <w:rPr>
          <w:color w:val="auto"/>
          <w:sz w:val="24"/>
          <w:szCs w:val="24"/>
        </w:rPr>
        <w:t>元</w:t>
      </w:r>
      <w:r>
        <w:rPr>
          <w:rFonts w:hint="eastAsia"/>
          <w:color w:val="auto"/>
          <w:sz w:val="24"/>
          <w:szCs w:val="24"/>
          <w:lang w:eastAsia="zh-CN"/>
        </w:rPr>
        <w:t>（增加的投资额主要为设备及技术投资）</w:t>
      </w:r>
      <w:r>
        <w:rPr>
          <w:color w:val="auto"/>
          <w:sz w:val="24"/>
          <w:szCs w:val="24"/>
        </w:rPr>
        <w:t>，占地面积</w:t>
      </w:r>
      <w:r>
        <w:rPr>
          <w:rFonts w:hint="eastAsia"/>
          <w:color w:val="auto"/>
          <w:sz w:val="24"/>
          <w:szCs w:val="24"/>
        </w:rPr>
        <w:t>约</w:t>
      </w:r>
      <w:r>
        <w:rPr>
          <w:rFonts w:hint="eastAsia"/>
          <w:color w:val="auto"/>
          <w:sz w:val="24"/>
          <w:szCs w:val="24"/>
          <w:lang w:val="en-US" w:eastAsia="zh-CN"/>
        </w:rPr>
        <w:t>7781.09</w:t>
      </w:r>
      <w:r>
        <w:rPr>
          <w:color w:val="auto"/>
          <w:sz w:val="24"/>
          <w:szCs w:val="24"/>
        </w:rPr>
        <w:t>m</w:t>
      </w:r>
      <w:r>
        <w:rPr>
          <w:color w:val="auto"/>
          <w:sz w:val="24"/>
          <w:szCs w:val="24"/>
          <w:vertAlign w:val="superscript"/>
        </w:rPr>
        <w:t>2</w:t>
      </w:r>
      <w:r>
        <w:rPr>
          <w:color w:val="auto"/>
          <w:sz w:val="24"/>
          <w:szCs w:val="24"/>
        </w:rPr>
        <w:t>，</w:t>
      </w:r>
      <w:r>
        <w:rPr>
          <w:rFonts w:hint="eastAsia"/>
          <w:color w:val="auto"/>
          <w:sz w:val="24"/>
          <w:szCs w:val="24"/>
          <w:lang w:eastAsia="zh-CN"/>
        </w:rPr>
        <w:t>实际建筑面积和设计建筑面积相比增加了</w:t>
      </w:r>
      <w:r>
        <w:rPr>
          <w:rFonts w:hint="eastAsia"/>
          <w:color w:val="auto"/>
          <w:sz w:val="24"/>
          <w:szCs w:val="24"/>
          <w:lang w:val="en-US" w:eastAsia="zh-CN"/>
        </w:rPr>
        <w:t>820.09m</w:t>
      </w:r>
      <w:r>
        <w:rPr>
          <w:rFonts w:hint="eastAsia"/>
          <w:color w:val="auto"/>
          <w:sz w:val="24"/>
          <w:szCs w:val="24"/>
          <w:vertAlign w:val="superscript"/>
          <w:lang w:val="en-US" w:eastAsia="zh-CN"/>
        </w:rPr>
        <w:t>2</w:t>
      </w:r>
      <w:r>
        <w:rPr>
          <w:rFonts w:hint="eastAsia"/>
          <w:color w:val="auto"/>
          <w:sz w:val="24"/>
          <w:szCs w:val="24"/>
        </w:rPr>
        <w:t>，</w:t>
      </w:r>
      <w:r>
        <w:rPr>
          <w:color w:val="auto"/>
          <w:sz w:val="24"/>
          <w:szCs w:val="24"/>
        </w:rPr>
        <w:t>总建筑面积</w:t>
      </w:r>
      <w:r>
        <w:rPr>
          <w:rFonts w:hint="eastAsia"/>
          <w:color w:val="auto"/>
          <w:sz w:val="24"/>
          <w:szCs w:val="24"/>
          <w:lang w:eastAsia="zh-CN"/>
        </w:rPr>
        <w:t>增加</w:t>
      </w:r>
      <w:r>
        <w:rPr>
          <w:rFonts w:hint="eastAsia"/>
          <w:color w:val="auto"/>
          <w:sz w:val="24"/>
          <w:szCs w:val="24"/>
        </w:rPr>
        <w:t>为</w:t>
      </w:r>
      <w:r>
        <w:rPr>
          <w:rFonts w:hint="eastAsia"/>
          <w:color w:val="auto"/>
          <w:sz w:val="24"/>
          <w:szCs w:val="24"/>
          <w:lang w:val="en-US" w:eastAsia="zh-CN"/>
        </w:rPr>
        <w:t>81789.09</w:t>
      </w:r>
      <w:r>
        <w:rPr>
          <w:color w:val="auto"/>
          <w:sz w:val="24"/>
          <w:szCs w:val="24"/>
        </w:rPr>
        <w:t>m</w:t>
      </w:r>
      <w:r>
        <w:rPr>
          <w:color w:val="auto"/>
          <w:sz w:val="24"/>
          <w:szCs w:val="24"/>
          <w:vertAlign w:val="superscript"/>
        </w:rPr>
        <w:t>2</w:t>
      </w:r>
      <w:r>
        <w:rPr>
          <w:rFonts w:hint="eastAsia"/>
          <w:color w:val="auto"/>
          <w:sz w:val="24"/>
          <w:szCs w:val="24"/>
          <w:lang w:eastAsia="zh-CN"/>
        </w:rPr>
        <w:t>（含地下室）</w:t>
      </w:r>
      <w:r>
        <w:rPr>
          <w:rFonts w:hint="eastAsia"/>
          <w:color w:val="auto"/>
          <w:sz w:val="24"/>
          <w:szCs w:val="24"/>
        </w:rPr>
        <w:t>，</w:t>
      </w:r>
      <w:r>
        <w:rPr>
          <w:rFonts w:hint="eastAsia"/>
          <w:color w:val="auto"/>
          <w:sz w:val="24"/>
          <w:szCs w:val="24"/>
          <w:lang w:eastAsia="zh-CN"/>
        </w:rPr>
        <w:t>办公建筑</w:t>
      </w:r>
      <w:r>
        <w:rPr>
          <w:rFonts w:hint="eastAsia"/>
          <w:color w:val="auto"/>
          <w:sz w:val="24"/>
          <w:szCs w:val="24"/>
        </w:rPr>
        <w:t>面积</w:t>
      </w:r>
      <w:r>
        <w:rPr>
          <w:rFonts w:hint="eastAsia"/>
          <w:color w:val="auto"/>
          <w:sz w:val="24"/>
          <w:szCs w:val="24"/>
          <w:lang w:eastAsia="zh-CN"/>
        </w:rPr>
        <w:t>增加</w:t>
      </w:r>
      <w:r>
        <w:rPr>
          <w:rFonts w:hint="eastAsia"/>
          <w:color w:val="auto"/>
          <w:sz w:val="24"/>
          <w:szCs w:val="24"/>
        </w:rPr>
        <w:t>为</w:t>
      </w:r>
      <w:r>
        <w:rPr>
          <w:rFonts w:hint="eastAsia"/>
          <w:color w:val="auto"/>
          <w:sz w:val="24"/>
          <w:szCs w:val="24"/>
          <w:lang w:val="en-US" w:eastAsia="zh-CN"/>
        </w:rPr>
        <w:t>53587.23</w:t>
      </w:r>
      <w:r>
        <w:rPr>
          <w:rFonts w:hint="eastAsia"/>
          <w:color w:val="auto"/>
          <w:sz w:val="24"/>
          <w:szCs w:val="24"/>
        </w:rPr>
        <w:t>m</w:t>
      </w:r>
      <w:r>
        <w:rPr>
          <w:rFonts w:hint="eastAsia"/>
          <w:color w:val="auto"/>
          <w:sz w:val="24"/>
          <w:szCs w:val="24"/>
          <w:vertAlign w:val="superscript"/>
        </w:rPr>
        <w:t>2</w:t>
      </w:r>
      <w:r>
        <w:rPr>
          <w:rFonts w:hint="eastAsia"/>
          <w:color w:val="auto"/>
          <w:sz w:val="24"/>
          <w:szCs w:val="24"/>
        </w:rPr>
        <w:t>，</w:t>
      </w:r>
      <w:r>
        <w:rPr>
          <w:rFonts w:hint="eastAsia"/>
          <w:color w:val="auto"/>
          <w:sz w:val="24"/>
          <w:szCs w:val="24"/>
          <w:lang w:eastAsia="zh-CN"/>
        </w:rPr>
        <w:t>商业建筑面积增加为</w:t>
      </w:r>
      <w:r>
        <w:rPr>
          <w:rFonts w:hint="eastAsia"/>
          <w:color w:val="auto"/>
          <w:sz w:val="24"/>
          <w:szCs w:val="24"/>
          <w:lang w:val="en-US" w:eastAsia="zh-CN"/>
        </w:rPr>
        <w:t>5456.21m</w:t>
      </w:r>
      <w:r>
        <w:rPr>
          <w:rFonts w:hint="eastAsia"/>
          <w:color w:val="auto"/>
          <w:sz w:val="24"/>
          <w:szCs w:val="24"/>
          <w:vertAlign w:val="superscript"/>
          <w:lang w:val="en-US" w:eastAsia="zh-CN"/>
        </w:rPr>
        <w:t>2</w:t>
      </w:r>
      <w:r>
        <w:rPr>
          <w:rFonts w:hint="eastAsia"/>
          <w:color w:val="auto"/>
          <w:sz w:val="24"/>
          <w:szCs w:val="24"/>
          <w:lang w:val="en-US" w:eastAsia="zh-CN"/>
        </w:rPr>
        <w:t>，</w:t>
      </w:r>
      <w:r>
        <w:rPr>
          <w:rFonts w:hint="eastAsia"/>
          <w:color w:val="auto"/>
          <w:sz w:val="24"/>
          <w:szCs w:val="24"/>
        </w:rPr>
        <w:t>地下</w:t>
      </w:r>
      <w:r>
        <w:rPr>
          <w:rFonts w:hint="eastAsia"/>
          <w:color w:val="auto"/>
          <w:sz w:val="24"/>
          <w:szCs w:val="24"/>
          <w:lang w:eastAsia="zh-CN"/>
        </w:rPr>
        <w:t>商业</w:t>
      </w:r>
      <w:r>
        <w:rPr>
          <w:rFonts w:hint="eastAsia"/>
          <w:color w:val="auto"/>
          <w:sz w:val="24"/>
          <w:szCs w:val="24"/>
        </w:rPr>
        <w:t>面积为</w:t>
      </w:r>
      <w:r>
        <w:rPr>
          <w:rFonts w:hint="eastAsia"/>
          <w:color w:val="auto"/>
          <w:sz w:val="24"/>
          <w:szCs w:val="24"/>
          <w:lang w:val="en-US" w:eastAsia="zh-CN"/>
        </w:rPr>
        <w:t>3951.13</w:t>
      </w:r>
      <w:r>
        <w:rPr>
          <w:rFonts w:hint="eastAsia"/>
          <w:color w:val="auto"/>
          <w:sz w:val="24"/>
          <w:szCs w:val="24"/>
        </w:rPr>
        <w:t>m</w:t>
      </w:r>
      <w:r>
        <w:rPr>
          <w:rFonts w:hint="eastAsia"/>
          <w:color w:val="auto"/>
          <w:sz w:val="24"/>
          <w:szCs w:val="24"/>
          <w:vertAlign w:val="superscript"/>
        </w:rPr>
        <w:t>2</w:t>
      </w:r>
      <w:r>
        <w:rPr>
          <w:rFonts w:hint="eastAsia"/>
          <w:color w:val="auto"/>
          <w:sz w:val="24"/>
          <w:szCs w:val="24"/>
        </w:rPr>
        <w:t>，</w:t>
      </w:r>
      <w:r>
        <w:rPr>
          <w:rFonts w:hint="eastAsia"/>
          <w:color w:val="auto"/>
          <w:sz w:val="24"/>
          <w:szCs w:val="24"/>
          <w:lang w:val="en-US" w:eastAsia="zh-CN"/>
        </w:rPr>
        <w:t>其中餐饮业面积不变，仍为4712m</w:t>
      </w:r>
      <w:r>
        <w:rPr>
          <w:rFonts w:hint="eastAsia"/>
          <w:color w:val="auto"/>
          <w:sz w:val="24"/>
          <w:szCs w:val="24"/>
          <w:vertAlign w:val="superscript"/>
          <w:lang w:val="en-US" w:eastAsia="zh-CN"/>
        </w:rPr>
        <w:t>2</w:t>
      </w:r>
      <w:r>
        <w:rPr>
          <w:rFonts w:hint="eastAsia"/>
          <w:color w:val="auto"/>
          <w:sz w:val="24"/>
          <w:szCs w:val="24"/>
          <w:lang w:val="en-US" w:eastAsia="zh-CN"/>
        </w:rPr>
        <w:t>，</w:t>
      </w:r>
      <w:r>
        <w:rPr>
          <w:rFonts w:hint="eastAsia"/>
          <w:color w:val="auto"/>
          <w:sz w:val="24"/>
          <w:szCs w:val="24"/>
        </w:rPr>
        <w:t>地下室</w:t>
      </w:r>
      <w:r>
        <w:rPr>
          <w:rFonts w:hint="eastAsia"/>
          <w:color w:val="auto"/>
          <w:sz w:val="24"/>
          <w:szCs w:val="24"/>
          <w:lang w:eastAsia="zh-CN"/>
        </w:rPr>
        <w:t>车库</w:t>
      </w:r>
      <w:r>
        <w:rPr>
          <w:rFonts w:hint="eastAsia"/>
          <w:color w:val="auto"/>
          <w:sz w:val="24"/>
          <w:szCs w:val="24"/>
        </w:rPr>
        <w:t>面积为</w:t>
      </w:r>
      <w:r>
        <w:rPr>
          <w:rFonts w:hint="eastAsia"/>
          <w:color w:val="auto"/>
          <w:sz w:val="24"/>
          <w:szCs w:val="24"/>
          <w:lang w:val="en-US" w:eastAsia="zh-CN"/>
        </w:rPr>
        <w:t>10609.84</w:t>
      </w:r>
      <w:r>
        <w:rPr>
          <w:rFonts w:hint="eastAsia"/>
          <w:color w:val="auto"/>
          <w:sz w:val="24"/>
          <w:szCs w:val="24"/>
        </w:rPr>
        <w:t>m</w:t>
      </w:r>
      <w:r>
        <w:rPr>
          <w:rFonts w:hint="eastAsia"/>
          <w:color w:val="auto"/>
          <w:sz w:val="24"/>
          <w:szCs w:val="24"/>
          <w:vertAlign w:val="superscript"/>
        </w:rPr>
        <w:t>2</w:t>
      </w:r>
      <w:r>
        <w:rPr>
          <w:rFonts w:hint="eastAsia"/>
          <w:color w:val="auto"/>
          <w:sz w:val="24"/>
          <w:szCs w:val="24"/>
        </w:rPr>
        <w:t>，地下室</w:t>
      </w:r>
      <w:r>
        <w:rPr>
          <w:rFonts w:hint="eastAsia"/>
          <w:color w:val="auto"/>
          <w:sz w:val="24"/>
          <w:szCs w:val="24"/>
          <w:lang w:eastAsia="zh-CN"/>
        </w:rPr>
        <w:t>设备用房</w:t>
      </w:r>
      <w:r>
        <w:rPr>
          <w:rFonts w:hint="eastAsia"/>
          <w:color w:val="auto"/>
          <w:sz w:val="24"/>
          <w:szCs w:val="24"/>
        </w:rPr>
        <w:t>面积为</w:t>
      </w:r>
      <w:r>
        <w:rPr>
          <w:rFonts w:hint="eastAsia"/>
          <w:color w:val="auto"/>
          <w:sz w:val="24"/>
          <w:szCs w:val="24"/>
          <w:lang w:val="en-US" w:eastAsia="zh-CN"/>
        </w:rPr>
        <w:t>634</w:t>
      </w:r>
      <w:r>
        <w:rPr>
          <w:rFonts w:hint="eastAsia"/>
          <w:color w:val="auto"/>
          <w:sz w:val="24"/>
          <w:szCs w:val="24"/>
        </w:rPr>
        <w:t>m</w:t>
      </w:r>
      <w:r>
        <w:rPr>
          <w:rFonts w:hint="eastAsia"/>
          <w:color w:val="auto"/>
          <w:sz w:val="24"/>
          <w:szCs w:val="24"/>
          <w:vertAlign w:val="superscript"/>
        </w:rPr>
        <w:t>2</w:t>
      </w:r>
      <w:r>
        <w:rPr>
          <w:rFonts w:hint="eastAsia"/>
          <w:color w:val="auto"/>
          <w:sz w:val="24"/>
          <w:szCs w:val="24"/>
        </w:rPr>
        <w:t>，</w:t>
      </w:r>
      <w:r>
        <w:rPr>
          <w:rFonts w:hint="eastAsia"/>
          <w:color w:val="auto"/>
          <w:sz w:val="24"/>
          <w:szCs w:val="24"/>
          <w:lang w:eastAsia="zh-CN"/>
        </w:rPr>
        <w:t>绿化</w:t>
      </w:r>
      <w:r>
        <w:rPr>
          <w:rFonts w:hint="eastAsia"/>
          <w:color w:val="auto"/>
          <w:sz w:val="24"/>
          <w:szCs w:val="24"/>
        </w:rPr>
        <w:t>面积</w:t>
      </w:r>
      <w:r>
        <w:rPr>
          <w:rFonts w:hint="eastAsia"/>
          <w:color w:val="auto"/>
          <w:sz w:val="24"/>
          <w:szCs w:val="24"/>
          <w:lang w:val="en-US" w:eastAsia="zh-CN"/>
        </w:rPr>
        <w:t>1510.13</w:t>
      </w:r>
      <w:r>
        <w:rPr>
          <w:rFonts w:hint="eastAsia"/>
          <w:color w:val="auto"/>
          <w:sz w:val="24"/>
          <w:szCs w:val="24"/>
        </w:rPr>
        <w:t>m</w:t>
      </w:r>
      <w:r>
        <w:rPr>
          <w:rFonts w:hint="eastAsia"/>
          <w:color w:val="auto"/>
          <w:sz w:val="24"/>
          <w:szCs w:val="24"/>
          <w:vertAlign w:val="superscript"/>
        </w:rPr>
        <w:t>2</w:t>
      </w:r>
      <w:r>
        <w:rPr>
          <w:rFonts w:hint="eastAsia"/>
          <w:sz w:val="24"/>
          <w:szCs w:val="24"/>
          <w:lang w:eastAsia="zh-CN"/>
        </w:rPr>
        <w:t>，商业总建筑面积为</w:t>
      </w:r>
      <w:r>
        <w:rPr>
          <w:rFonts w:hint="eastAsia"/>
          <w:sz w:val="24"/>
          <w:szCs w:val="24"/>
          <w:lang w:val="en-US" w:eastAsia="zh-CN"/>
        </w:rPr>
        <w:t>9407.34</w:t>
      </w:r>
      <w:r>
        <w:rPr>
          <w:rFonts w:hint="eastAsia"/>
          <w:sz w:val="24"/>
          <w:szCs w:val="24"/>
          <w:lang w:eastAsia="zh-CN"/>
        </w:rPr>
        <w:t>m</w:t>
      </w:r>
      <w:r>
        <w:rPr>
          <w:rFonts w:hint="eastAsia"/>
          <w:sz w:val="24"/>
          <w:szCs w:val="24"/>
          <w:vertAlign w:val="superscript"/>
          <w:lang w:eastAsia="zh-CN"/>
        </w:rPr>
        <w:t>2</w:t>
      </w:r>
      <w:r>
        <w:rPr>
          <w:rFonts w:hint="eastAsia"/>
          <w:sz w:val="24"/>
          <w:szCs w:val="24"/>
          <w:lang w:eastAsia="zh-CN"/>
        </w:rPr>
        <w:t>。</w:t>
      </w:r>
      <w:bookmarkStart w:id="0" w:name="_GoBack"/>
      <w:bookmarkEnd w:id="0"/>
    </w:p>
    <w:p>
      <w:pPr>
        <w:spacing w:line="360" w:lineRule="auto"/>
        <w:ind w:firstLine="480" w:firstLineChars="200"/>
        <w:rPr>
          <w:rFonts w:hint="eastAsia" w:ascii="Times New Roman" w:hAnsi="Times New Roman" w:cs="Times New Roman" w:eastAsiaTheme="minorEastAsia"/>
          <w:sz w:val="24"/>
          <w:szCs w:val="24"/>
          <w:lang w:eastAsia="zh-CN"/>
        </w:rPr>
      </w:pPr>
      <w:r>
        <w:rPr>
          <w:rFonts w:hint="eastAsia"/>
          <w:color w:val="auto"/>
          <w:sz w:val="24"/>
          <w:szCs w:val="24"/>
        </w:rPr>
        <w:t>项目于2012年12月取得佛山市环境保护局关于佛山市宝能国际文化金融中心建设项目环境影响报告表的批复</w:t>
      </w:r>
      <w:r>
        <w:rPr>
          <w:rFonts w:hint="eastAsia"/>
          <w:color w:val="auto"/>
          <w:sz w:val="24"/>
          <w:szCs w:val="24"/>
          <w:lang w:eastAsia="zh-CN"/>
        </w:rPr>
        <w:t>，审批文号为：</w:t>
      </w:r>
      <w:r>
        <w:rPr>
          <w:rFonts w:hint="eastAsia"/>
          <w:color w:val="auto"/>
          <w:sz w:val="24"/>
          <w:szCs w:val="24"/>
        </w:rPr>
        <w:t>佛新城建字[2012]176号，2013年</w:t>
      </w:r>
      <w:r>
        <w:rPr>
          <w:rFonts w:hint="eastAsia"/>
          <w:color w:val="auto"/>
          <w:sz w:val="24"/>
          <w:szCs w:val="24"/>
          <w:lang w:eastAsia="zh-CN"/>
        </w:rPr>
        <w:t>时命</w:t>
      </w:r>
      <w:r>
        <w:rPr>
          <w:rFonts w:hint="eastAsia"/>
          <w:color w:val="auto"/>
          <w:sz w:val="24"/>
          <w:szCs w:val="24"/>
        </w:rPr>
        <w:t>名为</w:t>
      </w:r>
      <w:r>
        <w:rPr>
          <w:rFonts w:hint="eastAsia"/>
          <w:color w:val="auto"/>
          <w:sz w:val="24"/>
          <w:szCs w:val="24"/>
          <w:lang w:eastAsia="zh-CN"/>
        </w:rPr>
        <w:t>宝能金融大厦（命名材料详见验收监测报告表附件</w:t>
      </w:r>
      <w:r>
        <w:rPr>
          <w:rFonts w:hint="eastAsia"/>
          <w:color w:val="auto"/>
          <w:sz w:val="24"/>
          <w:szCs w:val="24"/>
          <w:lang w:val="en-US" w:eastAsia="zh-CN"/>
        </w:rPr>
        <w:t>9</w:t>
      </w:r>
      <w:r>
        <w:rPr>
          <w:rFonts w:hint="eastAsia"/>
          <w:color w:val="auto"/>
          <w:sz w:val="24"/>
          <w:szCs w:val="24"/>
          <w:lang w:eastAsia="zh-CN"/>
        </w:rPr>
        <w:t>）</w:t>
      </w:r>
      <w:r>
        <w:rPr>
          <w:rFonts w:hint="eastAsia"/>
          <w:color w:val="auto"/>
          <w:sz w:val="24"/>
          <w:szCs w:val="24"/>
        </w:rPr>
        <w:t>，2013年8月取得佛山市住房和城乡建设管理局关于</w:t>
      </w:r>
      <w:r>
        <w:rPr>
          <w:rFonts w:hint="eastAsia"/>
          <w:color w:val="auto"/>
          <w:sz w:val="24"/>
          <w:szCs w:val="24"/>
          <w:lang w:eastAsia="zh-CN"/>
        </w:rPr>
        <w:t>宝能金融大厦</w:t>
      </w:r>
      <w:r>
        <w:rPr>
          <w:rFonts w:hint="eastAsia"/>
          <w:color w:val="auto"/>
          <w:sz w:val="24"/>
          <w:szCs w:val="24"/>
        </w:rPr>
        <w:t>初步设计规划的批复</w:t>
      </w:r>
      <w:r>
        <w:rPr>
          <w:rFonts w:hint="eastAsia"/>
          <w:color w:val="auto"/>
          <w:sz w:val="24"/>
          <w:szCs w:val="24"/>
          <w:lang w:eastAsia="zh-CN"/>
        </w:rPr>
        <w:t>，审批文号为</w:t>
      </w:r>
      <w:r>
        <w:rPr>
          <w:rFonts w:hint="eastAsia"/>
          <w:color w:val="auto"/>
          <w:sz w:val="24"/>
          <w:szCs w:val="24"/>
        </w:rPr>
        <w:t>佛新城建字[2013]160号</w:t>
      </w:r>
      <w:r>
        <w:rPr>
          <w:rFonts w:hint="eastAsia" w:ascii="Times New Roman" w:cs="Times New Roman" w:hAnsiTheme="minorEastAsia"/>
          <w:sz w:val="24"/>
          <w:szCs w:val="24"/>
          <w:lang w:eastAsia="zh-CN"/>
        </w:rPr>
        <w:t>，</w:t>
      </w:r>
      <w:r>
        <w:rPr>
          <w:rFonts w:hint="eastAsia" w:ascii="Times New Roman" w:cs="Times New Roman" w:hAnsiTheme="minorEastAsia"/>
          <w:sz w:val="24"/>
          <w:szCs w:val="24"/>
        </w:rPr>
        <w:t>201</w:t>
      </w:r>
      <w:r>
        <w:rPr>
          <w:rFonts w:hint="eastAsia" w:ascii="Times New Roman" w:cs="Times New Roman" w:hAnsiTheme="minorEastAsia"/>
          <w:sz w:val="24"/>
          <w:szCs w:val="24"/>
          <w:lang w:val="en-US" w:eastAsia="zh-CN"/>
        </w:rPr>
        <w:t>3</w:t>
      </w:r>
      <w:r>
        <w:rPr>
          <w:rFonts w:hint="eastAsia" w:ascii="Times New Roman" w:cs="Times New Roman" w:hAnsiTheme="minorEastAsia"/>
          <w:sz w:val="24"/>
          <w:szCs w:val="24"/>
        </w:rPr>
        <w:t>年</w:t>
      </w:r>
      <w:r>
        <w:rPr>
          <w:rFonts w:hint="eastAsia" w:ascii="Times New Roman" w:cs="Times New Roman" w:hAnsiTheme="minorEastAsia"/>
          <w:sz w:val="24"/>
          <w:szCs w:val="24"/>
          <w:lang w:val="en-US" w:eastAsia="zh-CN"/>
        </w:rPr>
        <w:t>9</w:t>
      </w:r>
      <w:r>
        <w:rPr>
          <w:rFonts w:hint="eastAsia" w:ascii="Times New Roman" w:cs="Times New Roman" w:hAnsiTheme="minorEastAsia"/>
          <w:sz w:val="24"/>
          <w:szCs w:val="24"/>
        </w:rPr>
        <w:t>月</w:t>
      </w:r>
      <w:r>
        <w:rPr>
          <w:rFonts w:ascii="Times New Roman" w:cs="Times New Roman" w:hAnsiTheme="minorEastAsia"/>
          <w:sz w:val="24"/>
          <w:szCs w:val="24"/>
        </w:rPr>
        <w:t>开始施工，</w:t>
      </w:r>
      <w:r>
        <w:rPr>
          <w:rFonts w:ascii="Times New Roman" w:hAnsi="Times New Roman" w:cs="Times New Roman"/>
          <w:sz w:val="24"/>
          <w:szCs w:val="24"/>
        </w:rPr>
        <w:t>20</w:t>
      </w:r>
      <w:r>
        <w:rPr>
          <w:rFonts w:hint="eastAsia" w:ascii="Times New Roman" w:hAnsi="Times New Roman" w:cs="Times New Roman"/>
          <w:sz w:val="24"/>
          <w:szCs w:val="24"/>
        </w:rPr>
        <w:t>20</w:t>
      </w:r>
      <w:r>
        <w:rPr>
          <w:rFonts w:ascii="Times New Roman" w:hAnsi="Times New Roman" w:cs="Times New Roman"/>
          <w:sz w:val="24"/>
          <w:szCs w:val="24"/>
        </w:rPr>
        <w:t>年</w:t>
      </w:r>
      <w:r>
        <w:rPr>
          <w:rFonts w:hint="eastAsia" w:ascii="Times New Roman" w:hAnsi="Times New Roman" w:cs="Times New Roman"/>
          <w:sz w:val="24"/>
          <w:szCs w:val="24"/>
        </w:rPr>
        <w:t>6</w:t>
      </w:r>
      <w:r>
        <w:rPr>
          <w:rFonts w:ascii="Times New Roman" w:hAnsi="Times New Roman" w:cs="Times New Roman"/>
          <w:sz w:val="24"/>
          <w:szCs w:val="24"/>
        </w:rPr>
        <w:t>月</w:t>
      </w:r>
      <w:r>
        <w:rPr>
          <w:rFonts w:hint="eastAsia" w:ascii="Times New Roman" w:hAnsi="Times New Roman" w:cs="Times New Roman"/>
          <w:sz w:val="24"/>
          <w:szCs w:val="24"/>
        </w:rPr>
        <w:t>全面完工</w:t>
      </w:r>
      <w:r>
        <w:rPr>
          <w:rFonts w:ascii="Times New Roman" w:hAnsi="Times New Roman" w:cs="Times New Roman"/>
          <w:sz w:val="24"/>
          <w:szCs w:val="24"/>
        </w:rPr>
        <w:t>。</w:t>
      </w:r>
      <w:r>
        <w:rPr>
          <w:rFonts w:hint="eastAsia" w:ascii="Times New Roman" w:hAnsi="Times New Roman" w:cs="Times New Roman"/>
          <w:sz w:val="24"/>
          <w:szCs w:val="24"/>
          <w:lang w:eastAsia="zh-CN"/>
        </w:rPr>
        <w:t>项目</w:t>
      </w:r>
      <w:r>
        <w:rPr>
          <w:rFonts w:ascii="Times New Roman" w:hAnsi="Times New Roman" w:cs="Times New Roman" w:eastAsiaTheme="minorEastAsia"/>
          <w:sz w:val="24"/>
          <w:szCs w:val="24"/>
          <w:lang w:eastAsia="zh-CN"/>
        </w:rPr>
        <w:t>于2020年</w:t>
      </w:r>
      <w:r>
        <w:rPr>
          <w:rFonts w:hint="eastAsia" w:ascii="Times New Roman" w:hAnsi="Times New Roman" w:cs="Times New Roman"/>
          <w:sz w:val="24"/>
          <w:szCs w:val="24"/>
          <w:lang w:val="en-US" w:eastAsia="zh-CN"/>
        </w:rPr>
        <w:t>7</w:t>
      </w:r>
      <w:r>
        <w:rPr>
          <w:rFonts w:ascii="Times New Roman" w:hAnsi="Times New Roman" w:cs="Times New Roman" w:eastAsiaTheme="minorEastAsia"/>
          <w:sz w:val="24"/>
          <w:szCs w:val="24"/>
          <w:lang w:eastAsia="zh-CN"/>
        </w:rPr>
        <w:t>月委托广东顺德环境科学研究院有限公司开展验收监测工作，并于2020年</w:t>
      </w:r>
      <w:r>
        <w:rPr>
          <w:rFonts w:hint="eastAsia" w:ascii="Times New Roman" w:hAnsi="Times New Roman" w:cs="Times New Roman"/>
          <w:sz w:val="24"/>
          <w:szCs w:val="24"/>
          <w:lang w:val="en-US" w:eastAsia="zh-CN"/>
        </w:rPr>
        <w:t>7</w:t>
      </w:r>
      <w:r>
        <w:rPr>
          <w:rFonts w:ascii="Times New Roman" w:hAnsi="Times New Roman" w:cs="Times New Roman" w:eastAsiaTheme="minorEastAsia"/>
          <w:sz w:val="24"/>
          <w:szCs w:val="24"/>
          <w:lang w:eastAsia="zh-CN"/>
        </w:rPr>
        <w:t>月</w:t>
      </w:r>
      <w:r>
        <w:rPr>
          <w:rFonts w:hint="eastAsia" w:ascii="Times New Roman" w:hAnsi="Times New Roman" w:cs="Times New Roman"/>
          <w:sz w:val="24"/>
          <w:szCs w:val="24"/>
          <w:lang w:val="en-US" w:eastAsia="zh-CN"/>
        </w:rPr>
        <w:t>2</w:t>
      </w:r>
      <w:r>
        <w:rPr>
          <w:rFonts w:ascii="Times New Roman" w:hAnsi="Times New Roman" w:cs="Times New Roman" w:eastAsiaTheme="minorEastAsia"/>
          <w:sz w:val="24"/>
          <w:szCs w:val="24"/>
          <w:lang w:eastAsia="zh-CN"/>
        </w:rPr>
        <w:t>日至</w:t>
      </w:r>
      <w:r>
        <w:rPr>
          <w:rFonts w:hint="eastAsia" w:ascii="Times New Roman" w:hAnsi="Times New Roman" w:cs="Times New Roman"/>
          <w:sz w:val="24"/>
          <w:szCs w:val="24"/>
          <w:lang w:val="en-US" w:eastAsia="zh-CN"/>
        </w:rPr>
        <w:t>3</w:t>
      </w:r>
      <w:r>
        <w:rPr>
          <w:rFonts w:ascii="Times New Roman" w:hAnsi="Times New Roman" w:cs="Times New Roman" w:eastAsiaTheme="minorEastAsia"/>
          <w:sz w:val="24"/>
          <w:szCs w:val="24"/>
          <w:lang w:eastAsia="zh-CN"/>
        </w:rPr>
        <w:t>日进行废气、噪声现场监测。</w:t>
      </w:r>
    </w:p>
    <w:p>
      <w:pPr>
        <w:spacing w:line="360" w:lineRule="auto"/>
        <w:ind w:firstLine="480" w:firstLineChars="200"/>
        <w:outlineLvl w:val="0"/>
        <w:rPr>
          <w:rFonts w:ascii="Times New Roman" w:cs="Times New Roman" w:hAnsiTheme="minorEastAsia"/>
          <w:b/>
          <w:bCs/>
          <w:sz w:val="24"/>
          <w:szCs w:val="24"/>
        </w:rPr>
      </w:pPr>
      <w:r>
        <w:rPr>
          <w:rFonts w:ascii="Times New Roman" w:cs="Times New Roman" w:hAnsiTheme="minorEastAsia"/>
          <w:b/>
          <w:bCs/>
          <w:sz w:val="24"/>
          <w:szCs w:val="24"/>
        </w:rPr>
        <w:t>二、工程变动情况</w:t>
      </w:r>
    </w:p>
    <w:p>
      <w:pPr>
        <w:spacing w:line="360" w:lineRule="auto"/>
        <w:ind w:firstLine="480" w:firstLineChars="200"/>
        <w:outlineLvl w:val="0"/>
        <w:rPr>
          <w:rFonts w:hint="eastAsia"/>
          <w:sz w:val="24"/>
          <w:szCs w:val="24"/>
        </w:rPr>
      </w:pPr>
      <w:r>
        <w:rPr>
          <w:rFonts w:hint="eastAsia" w:eastAsia="宋体"/>
          <w:color w:val="auto"/>
          <w:sz w:val="24"/>
          <w:szCs w:val="24"/>
          <w:lang w:eastAsia="zh-CN"/>
        </w:rPr>
        <w:t>项目建设后，</w:t>
      </w:r>
      <w:r>
        <w:rPr>
          <w:rFonts w:hint="eastAsia"/>
          <w:color w:val="auto"/>
          <w:sz w:val="24"/>
          <w:szCs w:val="24"/>
        </w:rPr>
        <w:t>建筑面积有所</w:t>
      </w:r>
      <w:r>
        <w:rPr>
          <w:rFonts w:hint="eastAsia" w:eastAsia="宋体"/>
          <w:color w:val="auto"/>
          <w:sz w:val="24"/>
          <w:szCs w:val="24"/>
          <w:lang w:eastAsia="zh-CN"/>
        </w:rPr>
        <w:t>变化</w:t>
      </w:r>
      <w:r>
        <w:rPr>
          <w:rFonts w:hint="eastAsia"/>
          <w:color w:val="auto"/>
          <w:sz w:val="24"/>
          <w:szCs w:val="24"/>
        </w:rPr>
        <w:t>，项目</w:t>
      </w:r>
      <w:r>
        <w:rPr>
          <w:color w:val="auto"/>
          <w:sz w:val="24"/>
          <w:szCs w:val="24"/>
        </w:rPr>
        <w:t>总建筑面积</w:t>
      </w:r>
      <w:r>
        <w:rPr>
          <w:rFonts w:hint="eastAsia"/>
          <w:color w:val="auto"/>
          <w:sz w:val="24"/>
          <w:szCs w:val="24"/>
        </w:rPr>
        <w:t>由</w:t>
      </w:r>
      <w:r>
        <w:rPr>
          <w:rFonts w:hint="eastAsia"/>
          <w:color w:val="auto"/>
          <w:sz w:val="24"/>
          <w:szCs w:val="24"/>
          <w:lang w:val="en-US" w:eastAsia="zh-CN"/>
        </w:rPr>
        <w:t>80969</w:t>
      </w:r>
      <w:r>
        <w:rPr>
          <w:color w:val="auto"/>
          <w:sz w:val="24"/>
          <w:szCs w:val="24"/>
        </w:rPr>
        <w:t>m</w:t>
      </w:r>
      <w:r>
        <w:rPr>
          <w:color w:val="auto"/>
          <w:sz w:val="24"/>
          <w:szCs w:val="24"/>
          <w:vertAlign w:val="superscript"/>
        </w:rPr>
        <w:t>2</w:t>
      </w:r>
      <w:r>
        <w:rPr>
          <w:rFonts w:hint="eastAsia"/>
          <w:color w:val="auto"/>
          <w:sz w:val="24"/>
          <w:szCs w:val="24"/>
        </w:rPr>
        <w:t>增加为</w:t>
      </w:r>
      <w:r>
        <w:rPr>
          <w:rFonts w:hint="eastAsia"/>
          <w:color w:val="auto"/>
          <w:sz w:val="24"/>
          <w:szCs w:val="24"/>
          <w:lang w:val="en-US" w:eastAsia="zh-CN"/>
        </w:rPr>
        <w:t>81789.09</w:t>
      </w:r>
      <w:r>
        <w:rPr>
          <w:color w:val="auto"/>
          <w:sz w:val="24"/>
          <w:szCs w:val="24"/>
        </w:rPr>
        <w:t>m</w:t>
      </w:r>
      <w:r>
        <w:rPr>
          <w:color w:val="auto"/>
          <w:sz w:val="24"/>
          <w:szCs w:val="24"/>
          <w:vertAlign w:val="superscript"/>
        </w:rPr>
        <w:t>2</w:t>
      </w:r>
      <w:r>
        <w:rPr>
          <w:rFonts w:hint="eastAsia"/>
          <w:color w:val="auto"/>
          <w:sz w:val="24"/>
          <w:szCs w:val="24"/>
        </w:rPr>
        <w:t>，</w:t>
      </w:r>
      <w:r>
        <w:rPr>
          <w:rFonts w:hint="eastAsia"/>
          <w:color w:val="auto"/>
          <w:sz w:val="24"/>
          <w:szCs w:val="24"/>
          <w:lang w:eastAsia="zh-CN"/>
        </w:rPr>
        <w:t>增加比例约为</w:t>
      </w:r>
      <w:r>
        <w:rPr>
          <w:rFonts w:hint="eastAsia"/>
          <w:color w:val="auto"/>
          <w:sz w:val="24"/>
          <w:szCs w:val="24"/>
          <w:lang w:val="en-US" w:eastAsia="zh-CN"/>
        </w:rPr>
        <w:t>1.2%；备用发电机由2台减少为1台；冷却塔从4层裙楼楼顶转移至32层塔楼楼顶；水泵房由负一层转移至负二层；总体来说，运营期污染物排放不增加，冷却塔和水泵房位置的改变减少了噪声污染的影响，因此属于</w:t>
      </w:r>
      <w:r>
        <w:rPr>
          <w:rFonts w:hint="eastAsia" w:eastAsia="宋体"/>
          <w:color w:val="auto"/>
          <w:sz w:val="24"/>
          <w:szCs w:val="24"/>
          <w:lang w:eastAsia="zh-CN"/>
        </w:rPr>
        <w:t>非重大变化</w:t>
      </w:r>
      <w:r>
        <w:rPr>
          <w:rFonts w:hint="eastAsia"/>
          <w:sz w:val="24"/>
          <w:szCs w:val="24"/>
        </w:rPr>
        <w:t>。</w:t>
      </w:r>
    </w:p>
    <w:p>
      <w:pPr>
        <w:spacing w:line="360" w:lineRule="auto"/>
        <w:ind w:firstLine="480" w:firstLineChars="200"/>
        <w:outlineLvl w:val="0"/>
        <w:rPr>
          <w:rFonts w:ascii="Times New Roman" w:hAnsi="Times New Roman" w:cs="Times New Roman"/>
          <w:b/>
          <w:bCs/>
          <w:sz w:val="24"/>
          <w:szCs w:val="24"/>
        </w:rPr>
      </w:pPr>
      <w:r>
        <w:rPr>
          <w:rFonts w:ascii="Times New Roman" w:cs="Times New Roman" w:hAnsiTheme="minorEastAsia"/>
          <w:b/>
          <w:bCs/>
          <w:sz w:val="24"/>
          <w:szCs w:val="24"/>
        </w:rPr>
        <w:t>三、环境保护</w:t>
      </w:r>
      <w:r>
        <w:rPr>
          <w:rFonts w:hint="eastAsia" w:ascii="Times New Roman" w:cs="Times New Roman" w:hAnsiTheme="minorEastAsia"/>
          <w:b/>
          <w:bCs/>
          <w:sz w:val="24"/>
          <w:szCs w:val="24"/>
        </w:rPr>
        <w:t>措施执行</w:t>
      </w:r>
      <w:r>
        <w:rPr>
          <w:rFonts w:ascii="Times New Roman" w:cs="Times New Roman" w:hAnsiTheme="minorEastAsia"/>
          <w:b/>
          <w:bCs/>
          <w:sz w:val="24"/>
          <w:szCs w:val="24"/>
        </w:rPr>
        <w:t>情况</w:t>
      </w:r>
    </w:p>
    <w:p>
      <w:pPr>
        <w:adjustRightInd w:val="0"/>
        <w:snapToGrid w:val="0"/>
        <w:spacing w:line="360" w:lineRule="auto"/>
        <w:ind w:firstLine="480" w:firstLineChars="200"/>
        <w:rPr>
          <w:sz w:val="24"/>
          <w:szCs w:val="24"/>
        </w:rPr>
      </w:pPr>
      <w:r>
        <w:rPr>
          <w:rFonts w:hint="eastAsia"/>
          <w:sz w:val="24"/>
          <w:szCs w:val="24"/>
        </w:rPr>
        <w:t>（1）施工期废水</w:t>
      </w:r>
    </w:p>
    <w:p>
      <w:pPr>
        <w:adjustRightInd w:val="0"/>
        <w:snapToGrid w:val="0"/>
        <w:spacing w:line="360" w:lineRule="auto"/>
        <w:ind w:firstLine="480" w:firstLineChars="200"/>
        <w:rPr>
          <w:rFonts w:hint="eastAsia"/>
          <w:sz w:val="24"/>
          <w:szCs w:val="24"/>
        </w:rPr>
      </w:pPr>
      <w:r>
        <w:rPr>
          <w:rFonts w:hint="eastAsia"/>
          <w:sz w:val="24"/>
          <w:szCs w:val="24"/>
        </w:rPr>
        <w:t>施工期间对地面水的排放进行组织引流，设置简易初步隔油池，施工废水达到广东省地方标准《水污染物排放限值》（DB44/26-2001）中二时段三级标准后，经市政污水管网，排入乐从污水处理厂处理达标后排放；施工人员不在本项目内居住；</w:t>
      </w:r>
    </w:p>
    <w:p>
      <w:pPr>
        <w:adjustRightInd w:val="0"/>
        <w:snapToGrid w:val="0"/>
        <w:spacing w:line="360" w:lineRule="auto"/>
        <w:ind w:firstLine="480" w:firstLineChars="200"/>
        <w:rPr>
          <w:sz w:val="24"/>
          <w:szCs w:val="24"/>
        </w:rPr>
      </w:pPr>
      <w:r>
        <w:rPr>
          <w:rFonts w:hint="eastAsia"/>
          <w:sz w:val="24"/>
          <w:szCs w:val="24"/>
        </w:rPr>
        <w:t>（2）施工期废气</w:t>
      </w:r>
    </w:p>
    <w:p>
      <w:pPr>
        <w:adjustRightInd w:val="0"/>
        <w:snapToGrid w:val="0"/>
        <w:spacing w:line="360" w:lineRule="auto"/>
        <w:ind w:firstLine="480" w:firstLineChars="200"/>
        <w:rPr>
          <w:sz w:val="24"/>
          <w:szCs w:val="24"/>
        </w:rPr>
      </w:pPr>
      <w:r>
        <w:rPr>
          <w:sz w:val="24"/>
          <w:szCs w:val="24"/>
        </w:rPr>
        <w:t>施工进场道派专人进行洒水湿润，一天至少洒水5次，项目施工现场的扬尘得到有效控制。并限制进入施工场地车辆的车速；建筑、装饰装修施工现场对施工地块域实行封闭或隔离，全部在建建筑均采用防尘网；</w:t>
      </w:r>
    </w:p>
    <w:p>
      <w:pPr>
        <w:adjustRightInd w:val="0"/>
        <w:snapToGrid w:val="0"/>
        <w:spacing w:line="360" w:lineRule="auto"/>
        <w:ind w:firstLine="480" w:firstLineChars="200"/>
        <w:rPr>
          <w:sz w:val="24"/>
          <w:szCs w:val="24"/>
        </w:rPr>
      </w:pPr>
      <w:r>
        <w:rPr>
          <w:sz w:val="24"/>
          <w:szCs w:val="24"/>
        </w:rPr>
        <w:t>施工物料放置施工场地内，并在设置围墙的工棚内，同时保持包装完整，以减少扬尘的产生；不在大风天气下施工作业；</w:t>
      </w:r>
    </w:p>
    <w:p>
      <w:pPr>
        <w:adjustRightInd w:val="0"/>
        <w:snapToGrid w:val="0"/>
        <w:spacing w:line="360" w:lineRule="auto"/>
        <w:ind w:firstLine="480" w:firstLineChars="200"/>
        <w:rPr>
          <w:rFonts w:hint="eastAsia" w:eastAsiaTheme="minorEastAsia"/>
          <w:sz w:val="24"/>
          <w:szCs w:val="24"/>
          <w:lang w:eastAsia="zh-CN"/>
        </w:rPr>
      </w:pPr>
      <w:r>
        <w:rPr>
          <w:sz w:val="24"/>
          <w:szCs w:val="24"/>
        </w:rPr>
        <w:t>项目设置了洗车槽，车辆轮胎清洗干净后才离场</w:t>
      </w:r>
      <w:r>
        <w:rPr>
          <w:rFonts w:hint="eastAsia"/>
          <w:sz w:val="24"/>
          <w:szCs w:val="24"/>
          <w:lang w:eastAsia="zh-CN"/>
        </w:rPr>
        <w:t>；</w:t>
      </w:r>
    </w:p>
    <w:p>
      <w:pPr>
        <w:adjustRightInd w:val="0"/>
        <w:snapToGrid w:val="0"/>
        <w:spacing w:line="360" w:lineRule="auto"/>
        <w:ind w:firstLine="480" w:firstLineChars="200"/>
        <w:rPr>
          <w:sz w:val="24"/>
          <w:szCs w:val="24"/>
        </w:rPr>
      </w:pPr>
      <w:r>
        <w:rPr>
          <w:rFonts w:hint="eastAsia"/>
          <w:sz w:val="24"/>
          <w:szCs w:val="24"/>
        </w:rPr>
        <w:t>（3）施工期噪声</w:t>
      </w:r>
    </w:p>
    <w:p>
      <w:pPr>
        <w:adjustRightInd w:val="0"/>
        <w:snapToGrid w:val="0"/>
        <w:spacing w:line="360" w:lineRule="auto"/>
        <w:ind w:firstLine="480" w:firstLineChars="200"/>
        <w:rPr>
          <w:sz w:val="24"/>
          <w:szCs w:val="24"/>
        </w:rPr>
      </w:pPr>
      <w:r>
        <w:rPr>
          <w:sz w:val="24"/>
          <w:szCs w:val="24"/>
        </w:rPr>
        <w:t>项目的施工时间均按要求安排，没有在中午(12:00～14:00)和夜间(22:00～6:00)期间作业；项目使用的设备选用低噪声设备，施工现场设置了相应的声屏障；合理布置现场施工设备的摆放，大型施工设备设置在工棚内操作，严格施工人员的操作规范，定期对设备进行保养；施工期间规范出入车辆的行车路线，没有对周围的造成大的影响</w:t>
      </w:r>
      <w:r>
        <w:rPr>
          <w:rFonts w:hint="eastAsia"/>
          <w:sz w:val="24"/>
          <w:szCs w:val="24"/>
        </w:rPr>
        <w:t>；</w:t>
      </w:r>
    </w:p>
    <w:p>
      <w:pPr>
        <w:adjustRightInd w:val="0"/>
        <w:snapToGrid w:val="0"/>
        <w:spacing w:line="360" w:lineRule="auto"/>
        <w:ind w:firstLine="480" w:firstLineChars="200"/>
        <w:rPr>
          <w:sz w:val="24"/>
          <w:szCs w:val="24"/>
        </w:rPr>
      </w:pPr>
      <w:r>
        <w:rPr>
          <w:rFonts w:hint="eastAsia"/>
          <w:sz w:val="24"/>
          <w:szCs w:val="24"/>
        </w:rPr>
        <w:t>（4）施工期固废</w:t>
      </w:r>
    </w:p>
    <w:p>
      <w:pPr>
        <w:adjustRightInd w:val="0"/>
        <w:snapToGrid w:val="0"/>
        <w:spacing w:line="360" w:lineRule="auto"/>
        <w:ind w:firstLine="480" w:firstLineChars="200"/>
        <w:rPr>
          <w:rFonts w:hint="eastAsia" w:eastAsiaTheme="minorEastAsia"/>
          <w:sz w:val="24"/>
          <w:szCs w:val="24"/>
          <w:lang w:eastAsia="zh-CN"/>
        </w:rPr>
      </w:pPr>
      <w:r>
        <w:rPr>
          <w:rFonts w:hint="eastAsia"/>
          <w:sz w:val="24"/>
          <w:szCs w:val="24"/>
        </w:rPr>
        <w:t>施工生活区生活垃圾送环卫部门统一处理；大部分土方回填，少部分由运至需要用土的单位，弃土点进行了绿化修复。包装袋、包装箱、碎木块等建筑垃圾进行分类堆放，综合利用，定点堆放，不可利用的渣土经施工单位向有关的余泥渣土排放管理处提出申请，按规定办理好余泥渣土排放的手续，获得批准后方可在指定的受纳地点弃土。本项目弃土交由专业土建公司运至张槎大富弃土堆场</w:t>
      </w:r>
      <w:r>
        <w:rPr>
          <w:rFonts w:hint="eastAsia"/>
          <w:sz w:val="24"/>
          <w:szCs w:val="24"/>
          <w:lang w:eastAsia="zh-CN"/>
        </w:rPr>
        <w:t>；</w:t>
      </w:r>
    </w:p>
    <w:p>
      <w:pPr>
        <w:adjustRightInd w:val="0"/>
        <w:snapToGrid w:val="0"/>
        <w:spacing w:line="360" w:lineRule="auto"/>
        <w:ind w:firstLine="480" w:firstLineChars="200"/>
        <w:rPr>
          <w:sz w:val="24"/>
          <w:szCs w:val="24"/>
        </w:rPr>
      </w:pPr>
      <w:r>
        <w:rPr>
          <w:rFonts w:hint="eastAsia"/>
          <w:sz w:val="24"/>
          <w:szCs w:val="24"/>
        </w:rPr>
        <w:t>（5）营运期废水</w:t>
      </w:r>
    </w:p>
    <w:p>
      <w:pPr>
        <w:adjustRightInd w:val="0"/>
        <w:snapToGrid w:val="0"/>
        <w:spacing w:line="360" w:lineRule="auto"/>
        <w:ind w:firstLine="480" w:firstLineChars="200"/>
        <w:rPr>
          <w:sz w:val="24"/>
          <w:szCs w:val="24"/>
        </w:rPr>
      </w:pPr>
      <w:r>
        <w:rPr>
          <w:sz w:val="24"/>
          <w:szCs w:val="24"/>
        </w:rPr>
        <w:t>项目产生的生活污水经三级化粪池预处理，达标后排入市政污水管网，最终进入</w:t>
      </w:r>
      <w:r>
        <w:rPr>
          <w:rFonts w:hint="eastAsia"/>
          <w:sz w:val="24"/>
          <w:szCs w:val="24"/>
          <w:lang w:eastAsia="zh-CN"/>
        </w:rPr>
        <w:t>乐从</w:t>
      </w:r>
      <w:r>
        <w:rPr>
          <w:sz w:val="24"/>
          <w:szCs w:val="24"/>
        </w:rPr>
        <w:t>污水处理厂；</w:t>
      </w:r>
    </w:p>
    <w:p>
      <w:pPr>
        <w:adjustRightInd w:val="0"/>
        <w:snapToGrid w:val="0"/>
        <w:spacing w:line="360" w:lineRule="auto"/>
        <w:ind w:firstLine="480" w:firstLineChars="200"/>
        <w:rPr>
          <w:sz w:val="24"/>
          <w:szCs w:val="24"/>
        </w:rPr>
      </w:pPr>
      <w:r>
        <w:rPr>
          <w:rFonts w:hint="eastAsia"/>
          <w:sz w:val="24"/>
          <w:szCs w:val="24"/>
        </w:rPr>
        <w:t>（6）营运期废气</w:t>
      </w:r>
    </w:p>
    <w:p>
      <w:pPr>
        <w:adjustRightInd w:val="0"/>
        <w:snapToGrid w:val="0"/>
        <w:spacing w:line="360" w:lineRule="auto"/>
        <w:ind w:firstLine="480" w:firstLineChars="200"/>
        <w:rPr>
          <w:sz w:val="24"/>
          <w:szCs w:val="24"/>
        </w:rPr>
      </w:pPr>
      <w:r>
        <w:rPr>
          <w:sz w:val="24"/>
          <w:szCs w:val="24"/>
        </w:rPr>
        <w:t>1）项目</w:t>
      </w:r>
      <w:r>
        <w:rPr>
          <w:rFonts w:hint="eastAsia"/>
          <w:sz w:val="24"/>
          <w:szCs w:val="24"/>
          <w:lang w:eastAsia="zh-CN"/>
        </w:rPr>
        <w:t>餐饮业</w:t>
      </w:r>
      <w:r>
        <w:rPr>
          <w:sz w:val="24"/>
          <w:szCs w:val="24"/>
        </w:rPr>
        <w:t>厨房产生的油烟废气，经抽油烟机处理后，使用预留的内置烟道引至</w:t>
      </w:r>
      <w:r>
        <w:rPr>
          <w:rFonts w:hint="eastAsia"/>
          <w:sz w:val="24"/>
          <w:szCs w:val="24"/>
          <w:lang w:eastAsia="zh-CN"/>
        </w:rPr>
        <w:t>塔楼楼顶</w:t>
      </w:r>
      <w:r>
        <w:rPr>
          <w:sz w:val="24"/>
          <w:szCs w:val="24"/>
        </w:rPr>
        <w:t>排放；</w:t>
      </w:r>
    </w:p>
    <w:p>
      <w:pPr>
        <w:adjustRightInd w:val="0"/>
        <w:snapToGrid w:val="0"/>
        <w:spacing w:line="360" w:lineRule="auto"/>
        <w:ind w:firstLine="480" w:firstLineChars="200"/>
        <w:rPr>
          <w:sz w:val="24"/>
          <w:szCs w:val="24"/>
        </w:rPr>
      </w:pPr>
      <w:r>
        <w:rPr>
          <w:sz w:val="24"/>
          <w:szCs w:val="24"/>
        </w:rPr>
        <w:t>2）本项目备用发电机使用轻柴油为燃料，尾气通过独立烟道引至</w:t>
      </w:r>
      <w:r>
        <w:rPr>
          <w:rFonts w:hint="eastAsia"/>
          <w:sz w:val="24"/>
          <w:szCs w:val="24"/>
          <w:lang w:eastAsia="zh-CN"/>
        </w:rPr>
        <w:t>塔</w:t>
      </w:r>
      <w:r>
        <w:rPr>
          <w:sz w:val="24"/>
          <w:szCs w:val="24"/>
        </w:rPr>
        <w:t>楼楼顶排放；</w:t>
      </w:r>
    </w:p>
    <w:p>
      <w:pPr>
        <w:adjustRightInd w:val="0"/>
        <w:snapToGrid w:val="0"/>
        <w:spacing w:line="360" w:lineRule="auto"/>
        <w:ind w:firstLine="480" w:firstLineChars="200"/>
        <w:rPr>
          <w:rFonts w:hint="eastAsia" w:eastAsiaTheme="minorEastAsia"/>
          <w:sz w:val="24"/>
          <w:szCs w:val="24"/>
          <w:lang w:eastAsia="zh-CN"/>
        </w:rPr>
      </w:pPr>
      <w:r>
        <w:rPr>
          <w:sz w:val="24"/>
          <w:szCs w:val="24"/>
        </w:rPr>
        <w:t>3）项目地下停车场安装风机和引风管，地下车库尾气通过强制排风，引至地面附近排放，排放口附近已落实绿化；</w:t>
      </w:r>
      <w:r>
        <w:rPr>
          <w:rFonts w:hint="eastAsia"/>
          <w:sz w:val="24"/>
          <w:szCs w:val="24"/>
        </w:rPr>
        <w:t>公厕采取定期消毒、除臭、清洗等防治措施，有效的减少产生的异味气体对周边环境的影响</w:t>
      </w:r>
      <w:r>
        <w:rPr>
          <w:rFonts w:hint="eastAsia"/>
          <w:sz w:val="24"/>
          <w:szCs w:val="24"/>
          <w:lang w:eastAsia="zh-CN"/>
        </w:rPr>
        <w:t>；</w:t>
      </w:r>
    </w:p>
    <w:p>
      <w:pPr>
        <w:adjustRightInd w:val="0"/>
        <w:snapToGrid w:val="0"/>
        <w:spacing w:line="360" w:lineRule="auto"/>
        <w:ind w:firstLine="480" w:firstLineChars="200"/>
        <w:rPr>
          <w:sz w:val="24"/>
          <w:szCs w:val="24"/>
        </w:rPr>
      </w:pPr>
      <w:r>
        <w:rPr>
          <w:rFonts w:hint="eastAsia"/>
          <w:sz w:val="24"/>
          <w:szCs w:val="24"/>
        </w:rPr>
        <w:t>（7）营运期噪声</w:t>
      </w:r>
    </w:p>
    <w:p>
      <w:pPr>
        <w:adjustRightInd w:val="0"/>
        <w:snapToGrid w:val="0"/>
        <w:spacing w:line="360" w:lineRule="auto"/>
        <w:ind w:firstLine="480" w:firstLineChars="200"/>
        <w:rPr>
          <w:rFonts w:hint="eastAsia"/>
          <w:sz w:val="24"/>
          <w:szCs w:val="24"/>
        </w:rPr>
      </w:pPr>
      <w:r>
        <w:rPr>
          <w:rFonts w:hint="eastAsia"/>
          <w:sz w:val="24"/>
          <w:szCs w:val="24"/>
        </w:rPr>
        <w:t>冷却塔已选择低噪声型号，并设置消声垫，减振器及橡胶软连接，冷却塔脚座和管路中分别安装橡胶减振垫。冷凝塔位置已转移到塔楼楼顶，对周围环境影响相比之前的位置有所降低。</w:t>
      </w:r>
    </w:p>
    <w:p>
      <w:pPr>
        <w:adjustRightInd w:val="0"/>
        <w:snapToGrid w:val="0"/>
        <w:spacing w:line="360" w:lineRule="auto"/>
        <w:ind w:firstLine="480" w:firstLineChars="200"/>
        <w:rPr>
          <w:rFonts w:hint="eastAsia"/>
          <w:sz w:val="24"/>
          <w:szCs w:val="24"/>
        </w:rPr>
      </w:pPr>
      <w:r>
        <w:rPr>
          <w:rFonts w:hint="eastAsia"/>
          <w:sz w:val="24"/>
          <w:szCs w:val="24"/>
        </w:rPr>
        <w:t>备用发电机的底座发电机安装采取减振措施，并对排气系统采取二级消声措施，发电机房安装标准隔声门，机房四壁天花挂贴吸声材料。</w:t>
      </w:r>
    </w:p>
    <w:p>
      <w:pPr>
        <w:adjustRightInd w:val="0"/>
        <w:snapToGrid w:val="0"/>
        <w:spacing w:line="360" w:lineRule="auto"/>
        <w:ind w:firstLine="480" w:firstLineChars="200"/>
        <w:rPr>
          <w:rFonts w:hint="eastAsia"/>
          <w:sz w:val="24"/>
          <w:szCs w:val="24"/>
        </w:rPr>
      </w:pPr>
      <w:r>
        <w:rPr>
          <w:rFonts w:hint="eastAsia"/>
          <w:sz w:val="24"/>
          <w:szCs w:val="24"/>
        </w:rPr>
        <w:t>已制定对商铺、办公楼的管理制度，合理安排运营时间，</w:t>
      </w:r>
    </w:p>
    <w:p>
      <w:pPr>
        <w:adjustRightInd w:val="0"/>
        <w:snapToGrid w:val="0"/>
        <w:spacing w:line="360" w:lineRule="auto"/>
        <w:ind w:firstLine="480" w:firstLineChars="200"/>
        <w:rPr>
          <w:rFonts w:hint="eastAsia"/>
          <w:sz w:val="24"/>
          <w:szCs w:val="24"/>
        </w:rPr>
      </w:pPr>
      <w:r>
        <w:rPr>
          <w:rFonts w:hint="eastAsia"/>
          <w:sz w:val="24"/>
          <w:szCs w:val="24"/>
        </w:rPr>
        <w:t>水泵已采用低噪声型环保设备，位置也转移到地下二层，对周围环境影响相比之前的位置有所降低。</w:t>
      </w:r>
    </w:p>
    <w:p>
      <w:pPr>
        <w:adjustRightInd w:val="0"/>
        <w:snapToGrid w:val="0"/>
        <w:spacing w:line="360" w:lineRule="auto"/>
        <w:ind w:firstLine="480" w:firstLineChars="200"/>
        <w:rPr>
          <w:rFonts w:hint="eastAsia"/>
          <w:sz w:val="24"/>
          <w:szCs w:val="24"/>
        </w:rPr>
      </w:pPr>
      <w:r>
        <w:rPr>
          <w:rFonts w:hint="eastAsia"/>
          <w:sz w:val="24"/>
          <w:szCs w:val="24"/>
        </w:rPr>
        <w:t>变配电房采用隔声罩、隔声墙或隔声室，主变本体基础下加防振胶垫，主变室进风口增加消声百叶窗，同时，变配电机在安装时应对底座加装减振措施。</w:t>
      </w:r>
    </w:p>
    <w:p>
      <w:pPr>
        <w:adjustRightInd w:val="0"/>
        <w:snapToGrid w:val="0"/>
        <w:spacing w:line="360" w:lineRule="auto"/>
        <w:ind w:firstLine="480" w:firstLineChars="200"/>
        <w:rPr>
          <w:sz w:val="24"/>
          <w:szCs w:val="24"/>
        </w:rPr>
      </w:pPr>
      <w:r>
        <w:rPr>
          <w:rFonts w:hint="eastAsia"/>
          <w:sz w:val="24"/>
          <w:szCs w:val="24"/>
        </w:rPr>
        <w:t>（8）营运期固废</w:t>
      </w:r>
    </w:p>
    <w:p>
      <w:pPr>
        <w:adjustRightInd w:val="0"/>
        <w:snapToGrid w:val="0"/>
        <w:spacing w:line="360" w:lineRule="auto"/>
        <w:ind w:firstLine="480" w:firstLineChars="200"/>
        <w:rPr>
          <w:rFonts w:hint="eastAsia"/>
          <w:sz w:val="24"/>
          <w:szCs w:val="24"/>
        </w:rPr>
      </w:pPr>
      <w:r>
        <w:rPr>
          <w:rFonts w:hint="eastAsia"/>
          <w:sz w:val="24"/>
          <w:szCs w:val="24"/>
        </w:rPr>
        <w:t>本项目营运期产生的生活垃圾处理，已制定相关规章制度，项目产生的生活垃圾要袋装化、分类收集后交由环卫部门妥善处置，做到日产日清。 餐饮垃圾需交由</w:t>
      </w:r>
      <w:r>
        <w:rPr>
          <w:rFonts w:hint="eastAsia"/>
          <w:sz w:val="24"/>
          <w:szCs w:val="24"/>
          <w:lang w:eastAsia="zh-CN"/>
        </w:rPr>
        <w:t>有处理能力的</w:t>
      </w:r>
      <w:r>
        <w:rPr>
          <w:rFonts w:hint="eastAsia"/>
          <w:sz w:val="24"/>
          <w:szCs w:val="24"/>
        </w:rPr>
        <w:t>单位处置。</w:t>
      </w:r>
    </w:p>
    <w:p>
      <w:pPr>
        <w:adjustRightInd w:val="0"/>
        <w:snapToGrid w:val="0"/>
        <w:spacing w:line="360" w:lineRule="auto"/>
        <w:ind w:firstLine="480" w:firstLineChars="200"/>
        <w:rPr>
          <w:sz w:val="24"/>
          <w:szCs w:val="24"/>
        </w:rPr>
      </w:pPr>
      <w:r>
        <w:rPr>
          <w:rFonts w:hint="eastAsia"/>
          <w:sz w:val="24"/>
          <w:szCs w:val="24"/>
        </w:rPr>
        <w:t xml:space="preserve">已规划好合理的垃圾收集时间和垃圾转运时的运输路线，确保垃圾转运的时间与地点。 </w:t>
      </w:r>
    </w:p>
    <w:p>
      <w:pPr>
        <w:spacing w:line="360" w:lineRule="auto"/>
        <w:ind w:firstLine="480" w:firstLineChars="200"/>
        <w:rPr>
          <w:rFonts w:ascii="Times New Roman" w:cs="Times New Roman" w:hAnsiTheme="minorEastAsia"/>
          <w:b/>
          <w:bCs/>
          <w:sz w:val="24"/>
          <w:szCs w:val="24"/>
        </w:rPr>
      </w:pPr>
      <w:r>
        <w:rPr>
          <w:rFonts w:ascii="Times New Roman" w:cs="Times New Roman" w:hAnsiTheme="minorEastAsia"/>
          <w:b/>
          <w:bCs/>
          <w:sz w:val="24"/>
          <w:szCs w:val="24"/>
        </w:rPr>
        <w:t>四、</w:t>
      </w:r>
      <w:r>
        <w:rPr>
          <w:rFonts w:hint="eastAsia" w:ascii="Times New Roman" w:cs="Times New Roman" w:hAnsiTheme="minorEastAsia"/>
          <w:b/>
          <w:bCs/>
          <w:sz w:val="24"/>
          <w:szCs w:val="24"/>
        </w:rPr>
        <w:t>验收监测</w:t>
      </w:r>
      <w:r>
        <w:rPr>
          <w:rFonts w:ascii="Times New Roman" w:cs="Times New Roman" w:hAnsiTheme="minorEastAsia"/>
          <w:b/>
          <w:bCs/>
          <w:sz w:val="24"/>
          <w:szCs w:val="24"/>
        </w:rPr>
        <w:t>结果</w:t>
      </w:r>
    </w:p>
    <w:p>
      <w:pPr>
        <w:spacing w:line="360" w:lineRule="auto"/>
        <w:ind w:firstLine="480" w:firstLineChars="200"/>
        <w:rPr>
          <w:rFonts w:hint="eastAsia"/>
          <w:sz w:val="24"/>
          <w:szCs w:val="24"/>
          <w:lang w:eastAsia="zh-CN"/>
        </w:rPr>
      </w:pPr>
      <w:r>
        <w:rPr>
          <w:rFonts w:ascii="Times New Roman" w:hAnsi="Times New Roman" w:cs="Times New Roman"/>
          <w:sz w:val="24"/>
          <w:szCs w:val="24"/>
        </w:rPr>
        <w:t>项目的周界环境噪声达到《社会生活环境噪声排放标准》(GB22337-2008)的2类标准；</w:t>
      </w:r>
      <w:r>
        <w:rPr>
          <w:rFonts w:hint="eastAsia" w:ascii="Times New Roman" w:hAnsi="Times New Roman" w:cs="Times New Roman"/>
          <w:bCs/>
          <w:sz w:val="24"/>
          <w:szCs w:val="24"/>
        </w:rPr>
        <w:t>与固定设备靠近的建筑室内</w:t>
      </w:r>
      <w:r>
        <w:rPr>
          <w:rFonts w:ascii="Times New Roman" w:hAnsi="Times New Roman" w:cs="Times New Roman"/>
          <w:bCs/>
          <w:sz w:val="24"/>
          <w:szCs w:val="24"/>
        </w:rPr>
        <w:t>噪声可满足《社会生活环境噪声排放标准》(GB12348-2008)</w:t>
      </w:r>
      <w:r>
        <w:rPr>
          <w:rFonts w:ascii="Times New Roman" w:hAnsi="Times New Roman" w:cs="Times New Roman"/>
          <w:sz w:val="24"/>
          <w:szCs w:val="24"/>
        </w:rPr>
        <w:t xml:space="preserve"> </w:t>
      </w:r>
      <w:r>
        <w:rPr>
          <w:rFonts w:ascii="Times New Roman" w:hAnsi="Times New Roman" w:cs="Times New Roman"/>
          <w:bCs/>
          <w:sz w:val="24"/>
          <w:szCs w:val="24"/>
        </w:rPr>
        <w:t>表2“结构传播固定设备室内噪声的</w:t>
      </w:r>
      <w:r>
        <w:rPr>
          <w:rFonts w:hint="eastAsia" w:ascii="Times New Roman" w:hAnsi="Times New Roman" w:cs="Times New Roman"/>
          <w:bCs/>
          <w:sz w:val="24"/>
          <w:szCs w:val="24"/>
          <w:lang w:val="en-US" w:eastAsia="zh-CN"/>
        </w:rPr>
        <w:t>B</w:t>
      </w:r>
      <w:r>
        <w:rPr>
          <w:rFonts w:ascii="Times New Roman" w:hAnsi="Times New Roman" w:cs="Times New Roman"/>
          <w:bCs/>
          <w:sz w:val="24"/>
          <w:szCs w:val="24"/>
        </w:rPr>
        <w:t>类房间标准限值（等效声级）标准。</w:t>
      </w:r>
      <w:r>
        <w:rPr>
          <w:rFonts w:hint="eastAsia" w:ascii="Times New Roman" w:hAnsi="Times New Roman" w:cs="Times New Roman"/>
          <w:bCs/>
          <w:sz w:val="24"/>
          <w:szCs w:val="24"/>
        </w:rPr>
        <w:t>临近道路的建筑室内</w:t>
      </w:r>
      <w:r>
        <w:rPr>
          <w:rFonts w:ascii="Times New Roman" w:hAnsi="Times New Roman" w:cs="Times New Roman"/>
          <w:bCs/>
          <w:sz w:val="24"/>
          <w:szCs w:val="24"/>
        </w:rPr>
        <w:t>噪声可满足</w:t>
      </w:r>
      <w:r>
        <w:rPr>
          <w:rFonts w:ascii="Times New Roman" w:hAnsi="Times New Roman" w:cs="Times New Roman"/>
          <w:sz w:val="24"/>
          <w:szCs w:val="24"/>
        </w:rPr>
        <w:t>《民用建筑隔声设计规范》（GB50188-2010）</w:t>
      </w:r>
      <w:r>
        <w:rPr>
          <w:rFonts w:hint="eastAsia" w:ascii="Times New Roman" w:hAnsi="Times New Roman" w:cs="Times New Roman"/>
          <w:sz w:val="24"/>
          <w:szCs w:val="24"/>
        </w:rPr>
        <w:t>中办公建筑</w:t>
      </w:r>
      <w:r>
        <w:rPr>
          <w:rFonts w:ascii="Times New Roman" w:hAnsi="Times New Roman" w:cs="Times New Roman"/>
          <w:sz w:val="24"/>
          <w:szCs w:val="24"/>
        </w:rPr>
        <w:t>的允许噪声级要求。</w:t>
      </w:r>
      <w:r>
        <w:rPr>
          <w:rFonts w:hint="eastAsia"/>
          <w:sz w:val="24"/>
          <w:szCs w:val="24"/>
          <w:lang w:eastAsia="zh-CN"/>
        </w:rPr>
        <w:t>项目备用发电机的废气可达到</w:t>
      </w:r>
      <w:r>
        <w:rPr>
          <w:rFonts w:hint="eastAsia"/>
          <w:sz w:val="24"/>
          <w:szCs w:val="24"/>
          <w:lang w:val="en-US" w:eastAsia="zh-CN"/>
        </w:rPr>
        <w:t>广东省《大气污染物排放限值》（DB44/27-2001）第二时段二级排放标准</w:t>
      </w:r>
      <w:r>
        <w:rPr>
          <w:rFonts w:hint="eastAsia"/>
          <w:sz w:val="24"/>
          <w:szCs w:val="24"/>
          <w:lang w:eastAsia="zh-CN"/>
        </w:rPr>
        <w:t>，备用发电机废气对环境影响不大。</w:t>
      </w:r>
    </w:p>
    <w:p>
      <w:pPr>
        <w:spacing w:line="360" w:lineRule="auto"/>
        <w:ind w:firstLine="480" w:firstLineChars="200"/>
        <w:outlineLvl w:val="0"/>
        <w:rPr>
          <w:rFonts w:ascii="Times New Roman" w:hAnsi="Times New Roman" w:cs="Times New Roman"/>
          <w:b/>
          <w:bCs/>
          <w:sz w:val="24"/>
          <w:szCs w:val="24"/>
        </w:rPr>
      </w:pPr>
      <w:r>
        <w:rPr>
          <w:rFonts w:ascii="Times New Roman" w:cs="Times New Roman" w:hAnsiTheme="minorEastAsia"/>
          <w:b/>
          <w:bCs/>
          <w:sz w:val="24"/>
          <w:szCs w:val="24"/>
        </w:rPr>
        <w:t>五、</w:t>
      </w:r>
      <w:r>
        <w:rPr>
          <w:rFonts w:hint="eastAsia" w:ascii="Times New Roman" w:cs="Times New Roman" w:hAnsiTheme="minorEastAsia"/>
          <w:b/>
          <w:bCs/>
          <w:sz w:val="24"/>
          <w:szCs w:val="24"/>
        </w:rPr>
        <w:t>验收结论</w:t>
      </w:r>
    </w:p>
    <w:p>
      <w:pPr>
        <w:widowControl/>
        <w:spacing w:line="36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项目建设过程中执行了环境影响评价</w:t>
      </w:r>
      <w:r>
        <w:rPr>
          <w:rFonts w:ascii="Times New Roman" w:hAnsi="Times New Roman" w:eastAsia="宋体" w:cs="Times New Roman"/>
          <w:kern w:val="0"/>
          <w:sz w:val="24"/>
          <w:szCs w:val="24"/>
        </w:rPr>
        <w:t>制度</w:t>
      </w:r>
      <w:r>
        <w:rPr>
          <w:rFonts w:hint="eastAsia" w:ascii="Times New Roman" w:hAnsi="Times New Roman" w:eastAsia="宋体" w:cs="Times New Roman"/>
          <w:kern w:val="0"/>
          <w:sz w:val="24"/>
          <w:szCs w:val="24"/>
        </w:rPr>
        <w:t>和</w:t>
      </w:r>
      <w:r>
        <w:rPr>
          <w:rFonts w:ascii="Times New Roman" w:hAnsi="Times New Roman" w:eastAsia="宋体" w:cs="Times New Roman"/>
          <w:kern w:val="0"/>
          <w:sz w:val="24"/>
          <w:szCs w:val="24"/>
        </w:rPr>
        <w:t>环保“</w:t>
      </w:r>
      <w:r>
        <w:rPr>
          <w:rFonts w:hint="eastAsia" w:ascii="Times New Roman" w:hAnsi="Times New Roman" w:eastAsia="宋体" w:cs="Times New Roman"/>
          <w:kern w:val="0"/>
          <w:sz w:val="24"/>
          <w:szCs w:val="24"/>
        </w:rPr>
        <w:t>三同时</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制度，落实了环境影响报告表及审批文件中要求的各项生态保护和污染防治措施，有效的控制了该项目施工过程中对周围环境的不利影响。</w:t>
      </w:r>
    </w:p>
    <w:p>
      <w:pPr>
        <w:spacing w:line="360" w:lineRule="auto"/>
        <w:ind w:right="132" w:rightChars="63" w:firstLine="480" w:firstLineChars="200"/>
        <w:rPr>
          <w:rFonts w:ascii="Times New Roman" w:hAnsi="Times New Roman" w:eastAsia="宋体" w:cs="Times New Roman"/>
          <w:sz w:val="24"/>
          <w:szCs w:val="24"/>
          <w:lang w:val="de-DE"/>
        </w:rPr>
      </w:pPr>
      <w:r>
        <w:rPr>
          <w:rFonts w:ascii="Times New Roman" w:hAnsi="Times New Roman" w:eastAsia="宋体" w:cs="Times New Roman"/>
          <w:sz w:val="24"/>
          <w:szCs w:val="24"/>
          <w:lang w:val="de-DE"/>
        </w:rPr>
        <w:t>根据项目现场调查结果，</w:t>
      </w:r>
      <w:r>
        <w:rPr>
          <w:color w:val="000000"/>
          <w:kern w:val="0"/>
          <w:sz w:val="24"/>
        </w:rPr>
        <w:t>验收组认为</w:t>
      </w:r>
      <w:r>
        <w:rPr>
          <w:rFonts w:ascii="Times New Roman" w:hAnsi="Times New Roman" w:eastAsia="宋体" w:cs="Times New Roman"/>
          <w:sz w:val="24"/>
          <w:szCs w:val="24"/>
          <w:lang w:val="de-DE"/>
        </w:rPr>
        <w:t>项目具备建设项目竣工环境保护验收条件，</w:t>
      </w:r>
      <w:r>
        <w:rPr>
          <w:color w:val="000000"/>
          <w:kern w:val="0"/>
          <w:sz w:val="24"/>
        </w:rPr>
        <w:t>可以通过竣工环境保护验收</w:t>
      </w:r>
      <w:r>
        <w:rPr>
          <w:rFonts w:ascii="Times New Roman" w:hAnsi="Times New Roman" w:eastAsia="宋体" w:cs="Times New Roman"/>
          <w:sz w:val="24"/>
          <w:szCs w:val="24"/>
          <w:lang w:val="de-DE"/>
        </w:rPr>
        <w:t>。</w:t>
      </w:r>
    </w:p>
    <w:p>
      <w:pPr>
        <w:spacing w:line="360" w:lineRule="auto"/>
        <w:ind w:right="132" w:rightChars="63" w:firstLine="480" w:firstLineChars="200"/>
        <w:rPr>
          <w:rFonts w:ascii="Times New Roman" w:hAnsi="Times New Roman" w:eastAsia="宋体" w:cs="Times New Roman"/>
          <w:sz w:val="24"/>
          <w:szCs w:val="24"/>
          <w:lang w:val="de-DE"/>
        </w:rPr>
      </w:pPr>
    </w:p>
    <w:p>
      <w:pPr>
        <w:spacing w:line="360" w:lineRule="auto"/>
        <w:ind w:right="132" w:rightChars="63" w:firstLine="480" w:firstLineChars="200"/>
        <w:rPr>
          <w:rFonts w:ascii="Times New Roman" w:hAnsi="Times New Roman" w:eastAsia="宋体" w:cs="Times New Roman"/>
          <w:sz w:val="24"/>
          <w:szCs w:val="24"/>
          <w:lang w:val="de-DE"/>
        </w:rPr>
      </w:pPr>
    </w:p>
    <w:p>
      <w:pPr>
        <w:spacing w:line="360" w:lineRule="auto"/>
        <w:ind w:right="132" w:rightChars="63" w:firstLine="560" w:firstLineChars="200"/>
        <w:rPr>
          <w:rFonts w:ascii="Times New Roman" w:hAnsi="Times New Roman" w:eastAsia="宋体" w:cs="Times New Roman"/>
          <w:sz w:val="28"/>
          <w:szCs w:val="28"/>
          <w:lang w:val="de-DE"/>
        </w:rPr>
      </w:pPr>
    </w:p>
    <w:p>
      <w:pPr>
        <w:spacing w:line="480" w:lineRule="auto"/>
        <w:ind w:firstLine="560" w:firstLineChars="200"/>
        <w:jc w:val="right"/>
        <w:rPr>
          <w:rFonts w:hint="eastAsia" w:ascii="Times New Roman" w:hAnsi="Times New Roman" w:cs="Times New Roman"/>
          <w:sz w:val="28"/>
          <w:szCs w:val="28"/>
          <w:lang w:eastAsia="zh-CN"/>
        </w:rPr>
      </w:pPr>
      <w:r>
        <w:rPr>
          <w:rFonts w:hint="eastAsia" w:ascii="Times New Roman" w:hAnsi="Times New Roman" w:cs="Times New Roman"/>
          <w:sz w:val="28"/>
          <w:szCs w:val="28"/>
          <w:lang w:eastAsia="zh-CN"/>
        </w:rPr>
        <w:t>佛山市宝能投资有限公司</w:t>
      </w:r>
    </w:p>
    <w:p>
      <w:pPr>
        <w:spacing w:line="480" w:lineRule="auto"/>
        <w:ind w:firstLine="560" w:firstLineChars="200"/>
        <w:jc w:val="right"/>
        <w:rPr>
          <w:rFonts w:ascii="Times New Roman" w:hAnsi="Times New Roman" w:cs="Times New Roman"/>
          <w:sz w:val="28"/>
          <w:szCs w:val="28"/>
        </w:rPr>
        <w:sectPr>
          <w:footerReference r:id="rId5" w:type="first"/>
          <w:footerReference r:id="rId3" w:type="default"/>
          <w:footerReference r:id="rId4" w:type="even"/>
          <w:pgSz w:w="11906" w:h="16838"/>
          <w:pgMar w:top="2098" w:right="1474" w:bottom="1417" w:left="1588" w:header="851" w:footer="992" w:gutter="0"/>
          <w:cols w:space="720" w:num="1"/>
          <w:docGrid w:type="linesAndChars" w:linePitch="312" w:charSpace="0"/>
        </w:sectPr>
      </w:pPr>
      <w:r>
        <w:rPr>
          <w:rFonts w:hint="eastAsia" w:ascii="Times New Roman" w:hAnsi="Times New Roman" w:cs="Times New Roman"/>
          <w:sz w:val="28"/>
          <w:szCs w:val="28"/>
          <w:lang w:val="en-US" w:eastAsia="zh-CN"/>
        </w:rPr>
        <w:t>2020</w:t>
      </w:r>
      <w:r>
        <w:rPr>
          <w:rFonts w:hint="eastAsia" w:ascii="Times New Roman" w:hAnsi="Times New Roman" w:cs="Times New Roman"/>
          <w:sz w:val="28"/>
          <w:szCs w:val="28"/>
        </w:rPr>
        <w:t>年</w:t>
      </w:r>
      <w:r>
        <w:rPr>
          <w:rFonts w:hint="eastAsia" w:ascii="Times New Roman" w:hAnsi="Times New Roman" w:cs="Times New Roman"/>
          <w:sz w:val="28"/>
          <w:szCs w:val="28"/>
          <w:lang w:val="en-US" w:eastAsia="zh-CN"/>
        </w:rPr>
        <w:t>7</w:t>
      </w:r>
      <w:r>
        <w:rPr>
          <w:rFonts w:hint="eastAsia" w:ascii="Times New Roman" w:hAnsi="Times New Roman" w:cs="Times New Roman"/>
          <w:sz w:val="28"/>
          <w:szCs w:val="28"/>
        </w:rPr>
        <w:t>月</w:t>
      </w:r>
      <w:r>
        <w:rPr>
          <w:rFonts w:hint="eastAsia" w:ascii="Times New Roman" w:hAnsi="Times New Roman" w:cs="Times New Roman"/>
          <w:sz w:val="28"/>
          <w:szCs w:val="28"/>
          <w:lang w:val="en-US" w:eastAsia="zh-CN"/>
        </w:rPr>
        <w:t>14</w:t>
      </w:r>
      <w:r>
        <w:rPr>
          <w:rFonts w:hint="eastAsia" w:ascii="Times New Roman" w:hAnsi="Times New Roman" w:cs="Times New Roman"/>
          <w:sz w:val="28"/>
          <w:szCs w:val="28"/>
        </w:rPr>
        <w:t>日</w:t>
      </w:r>
    </w:p>
    <w:p>
      <w:pPr>
        <w:spacing w:line="360" w:lineRule="auto"/>
        <w:jc w:val="center"/>
        <w:rPr>
          <w:rFonts w:ascii="宋体" w:hAnsi="宋体"/>
          <w:b/>
          <w:bCs/>
          <w:spacing w:val="-16"/>
          <w:sz w:val="36"/>
          <w:szCs w:val="52"/>
        </w:rPr>
      </w:pPr>
      <w:r>
        <w:rPr>
          <w:rFonts w:hint="eastAsia" w:ascii="宋体" w:hAnsi="宋体"/>
          <w:b/>
          <w:bCs/>
          <w:spacing w:val="-16"/>
          <w:sz w:val="36"/>
          <w:szCs w:val="52"/>
          <w:lang w:eastAsia="zh-CN"/>
        </w:rPr>
        <w:t>宝能金融大厦建设项目</w:t>
      </w:r>
      <w:r>
        <w:rPr>
          <w:rFonts w:ascii="宋体" w:hAnsi="宋体"/>
          <w:b/>
          <w:bCs/>
          <w:spacing w:val="-16"/>
          <w:sz w:val="36"/>
          <w:szCs w:val="52"/>
        </w:rPr>
        <w:t>建设项目</w:t>
      </w:r>
    </w:p>
    <w:p>
      <w:pPr>
        <w:spacing w:line="360" w:lineRule="auto"/>
        <w:jc w:val="center"/>
        <w:rPr>
          <w:rFonts w:ascii="宋体" w:hAnsi="宋体"/>
          <w:b/>
          <w:bCs/>
          <w:spacing w:val="-16"/>
          <w:sz w:val="36"/>
          <w:szCs w:val="52"/>
        </w:rPr>
      </w:pPr>
      <w:r>
        <w:rPr>
          <w:rFonts w:hint="eastAsia" w:ascii="宋体" w:hAnsi="宋体"/>
          <w:b/>
          <w:bCs/>
          <w:spacing w:val="-16"/>
          <w:sz w:val="36"/>
          <w:szCs w:val="52"/>
        </w:rPr>
        <w:t>竣工环境保护验收会签到表</w:t>
      </w:r>
    </w:p>
    <w:p>
      <w:pPr>
        <w:jc w:val="left"/>
      </w:pPr>
      <w:r>
        <w:rPr>
          <w:rFonts w:hint="eastAsia"/>
        </w:rPr>
        <w:t>时间：2020年</w:t>
      </w:r>
      <w:r>
        <w:rPr>
          <w:rFonts w:hint="eastAsia"/>
          <w:lang w:val="en-US" w:eastAsia="zh-CN"/>
        </w:rPr>
        <w:t>7</w:t>
      </w:r>
      <w:r>
        <w:rPr>
          <w:rFonts w:hint="eastAsia"/>
        </w:rPr>
        <w:t>月</w:t>
      </w:r>
      <w:r>
        <w:rPr>
          <w:rFonts w:hint="eastAsia"/>
          <w:lang w:val="en-US" w:eastAsia="zh-CN"/>
        </w:rPr>
        <w:t>14</w:t>
      </w:r>
      <w:r>
        <w:rPr>
          <w:rFonts w:hint="eastAsia"/>
        </w:rPr>
        <w:t>日</w:t>
      </w:r>
    </w:p>
    <w:tbl>
      <w:tblPr>
        <w:tblStyle w:val="11"/>
        <w:tblW w:w="13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4096"/>
        <w:gridCol w:w="1550"/>
        <w:gridCol w:w="1559"/>
        <w:gridCol w:w="1276"/>
        <w:gridCol w:w="2835"/>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408" w:type="dxa"/>
            <w:vAlign w:val="center"/>
          </w:tcPr>
          <w:p>
            <w:pPr>
              <w:jc w:val="center"/>
              <w:rPr>
                <w:rFonts w:ascii="Times New Roman" w:hAnsi="Times New Roman" w:cs="Times New Roman"/>
                <w:b/>
                <w:szCs w:val="21"/>
              </w:rPr>
            </w:pPr>
            <w:r>
              <w:rPr>
                <w:rFonts w:ascii="Times New Roman" w:hAnsi="Times New Roman" w:cs="Times New Roman"/>
                <w:b/>
                <w:szCs w:val="21"/>
              </w:rPr>
              <w:t>姓名</w:t>
            </w:r>
          </w:p>
        </w:tc>
        <w:tc>
          <w:tcPr>
            <w:tcW w:w="4096" w:type="dxa"/>
            <w:vAlign w:val="center"/>
          </w:tcPr>
          <w:p>
            <w:pPr>
              <w:jc w:val="center"/>
              <w:rPr>
                <w:rFonts w:ascii="Times New Roman" w:hAnsi="Times New Roman" w:cs="Times New Roman"/>
                <w:b/>
                <w:szCs w:val="21"/>
              </w:rPr>
            </w:pPr>
            <w:r>
              <w:rPr>
                <w:rFonts w:ascii="Times New Roman" w:hAnsi="Times New Roman" w:cs="Times New Roman"/>
                <w:b/>
                <w:szCs w:val="21"/>
              </w:rPr>
              <w:t>工作单位</w:t>
            </w:r>
          </w:p>
        </w:tc>
        <w:tc>
          <w:tcPr>
            <w:tcW w:w="1550" w:type="dxa"/>
            <w:vAlign w:val="center"/>
          </w:tcPr>
          <w:p>
            <w:pPr>
              <w:jc w:val="center"/>
              <w:rPr>
                <w:rFonts w:ascii="Times New Roman" w:hAnsi="Times New Roman" w:cs="Times New Roman"/>
                <w:b/>
                <w:szCs w:val="21"/>
              </w:rPr>
            </w:pPr>
            <w:r>
              <w:rPr>
                <w:rFonts w:ascii="Times New Roman" w:hAnsi="Times New Roman" w:cs="Times New Roman"/>
                <w:b/>
                <w:szCs w:val="21"/>
              </w:rPr>
              <w:t>职务</w:t>
            </w:r>
          </w:p>
          <w:p>
            <w:pPr>
              <w:jc w:val="center"/>
              <w:rPr>
                <w:rFonts w:ascii="Times New Roman" w:hAnsi="Times New Roman" w:cs="Times New Roman"/>
                <w:b/>
                <w:szCs w:val="21"/>
              </w:rPr>
            </w:pPr>
            <w:r>
              <w:rPr>
                <w:rFonts w:ascii="Times New Roman" w:hAnsi="Times New Roman" w:cs="Times New Roman"/>
                <w:b/>
                <w:szCs w:val="21"/>
              </w:rPr>
              <w:t>或职称</w:t>
            </w:r>
          </w:p>
        </w:tc>
        <w:tc>
          <w:tcPr>
            <w:tcW w:w="1559" w:type="dxa"/>
            <w:vAlign w:val="center"/>
          </w:tcPr>
          <w:p>
            <w:pPr>
              <w:jc w:val="center"/>
              <w:rPr>
                <w:rFonts w:ascii="Times New Roman" w:hAnsi="Times New Roman" w:cs="Times New Roman"/>
                <w:b/>
                <w:szCs w:val="21"/>
              </w:rPr>
            </w:pPr>
            <w:r>
              <w:rPr>
                <w:rFonts w:ascii="Times New Roman" w:hAnsi="Times New Roman" w:cs="Times New Roman"/>
                <w:b/>
                <w:szCs w:val="21"/>
              </w:rPr>
              <w:t>联系电话</w:t>
            </w:r>
          </w:p>
        </w:tc>
        <w:tc>
          <w:tcPr>
            <w:tcW w:w="1276" w:type="dxa"/>
            <w:vAlign w:val="center"/>
          </w:tcPr>
          <w:p>
            <w:pPr>
              <w:jc w:val="center"/>
              <w:rPr>
                <w:rFonts w:ascii="Times New Roman" w:hAnsi="Times New Roman" w:cs="Times New Roman"/>
                <w:b/>
                <w:szCs w:val="21"/>
              </w:rPr>
            </w:pPr>
            <w:r>
              <w:rPr>
                <w:rFonts w:ascii="Times New Roman" w:hAnsi="Times New Roman" w:cs="Times New Roman"/>
                <w:b/>
                <w:szCs w:val="21"/>
              </w:rPr>
              <w:t>在验收工作组身份</w:t>
            </w:r>
          </w:p>
        </w:tc>
        <w:tc>
          <w:tcPr>
            <w:tcW w:w="2835" w:type="dxa"/>
            <w:vAlign w:val="center"/>
          </w:tcPr>
          <w:p>
            <w:pPr>
              <w:jc w:val="center"/>
              <w:rPr>
                <w:rFonts w:ascii="Times New Roman" w:hAnsi="Times New Roman" w:cs="Times New Roman"/>
                <w:b/>
                <w:szCs w:val="21"/>
              </w:rPr>
            </w:pPr>
            <w:r>
              <w:rPr>
                <w:rFonts w:ascii="Times New Roman" w:hAnsi="Times New Roman" w:cs="Times New Roman"/>
                <w:b/>
                <w:szCs w:val="21"/>
              </w:rPr>
              <w:t>身份证号</w:t>
            </w:r>
          </w:p>
        </w:tc>
        <w:tc>
          <w:tcPr>
            <w:tcW w:w="1206" w:type="dxa"/>
            <w:vAlign w:val="center"/>
          </w:tcPr>
          <w:p>
            <w:pPr>
              <w:jc w:val="center"/>
              <w:rPr>
                <w:rFonts w:ascii="Times New Roman" w:hAnsi="Times New Roman" w:cs="Times New Roman"/>
                <w:b/>
                <w:szCs w:val="21"/>
              </w:rPr>
            </w:pPr>
            <w:r>
              <w:rPr>
                <w:rFonts w:ascii="Times New Roman" w:hAnsi="Times New Roman" w:cs="Times New Roman"/>
                <w:b/>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08" w:type="dxa"/>
            <w:vAlign w:val="center"/>
          </w:tcPr>
          <w:p>
            <w:pPr>
              <w:spacing w:line="360" w:lineRule="auto"/>
              <w:jc w:val="center"/>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eastAsia="zh-CN"/>
              </w:rPr>
              <w:t>莫翔</w:t>
            </w:r>
          </w:p>
        </w:tc>
        <w:tc>
          <w:tcPr>
            <w:tcW w:w="4096" w:type="dxa"/>
            <w:vAlign w:val="center"/>
          </w:tcPr>
          <w:p>
            <w:pPr>
              <w:autoSpaceDE w:val="0"/>
              <w:autoSpaceDN w:val="0"/>
              <w:jc w:val="center"/>
              <w:rPr>
                <w:rFonts w:hint="eastAsia" w:ascii="Times New Roman" w:hAnsi="Times New Roman" w:cs="Times New Roman" w:eastAsiaTheme="minorEastAsia"/>
                <w:kern w:val="2"/>
                <w:sz w:val="21"/>
                <w:szCs w:val="21"/>
                <w:lang w:val="zh-CN" w:eastAsia="zh-CN" w:bidi="zh-CN"/>
              </w:rPr>
            </w:pPr>
            <w:r>
              <w:rPr>
                <w:rFonts w:hint="eastAsia" w:ascii="Times New Roman" w:hAnsi="Times New Roman" w:cs="Times New Roman"/>
                <w:sz w:val="24"/>
                <w:szCs w:val="24"/>
                <w:lang w:eastAsia="zh-CN"/>
              </w:rPr>
              <w:t>佛山市宝能投资有限公司</w:t>
            </w:r>
          </w:p>
        </w:tc>
        <w:tc>
          <w:tcPr>
            <w:tcW w:w="1550" w:type="dxa"/>
            <w:vAlign w:val="center"/>
          </w:tcPr>
          <w:p>
            <w:pPr>
              <w:spacing w:line="360" w:lineRule="auto"/>
              <w:jc w:val="center"/>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eastAsia="zh-CN"/>
              </w:rPr>
              <w:t>项目负责人</w:t>
            </w:r>
          </w:p>
        </w:tc>
        <w:tc>
          <w:tcPr>
            <w:tcW w:w="1559" w:type="dxa"/>
            <w:vAlign w:val="center"/>
          </w:tcPr>
          <w:p>
            <w:pPr>
              <w:spacing w:line="360" w:lineRule="auto"/>
              <w:jc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val="en-US" w:eastAsia="zh-CN"/>
              </w:rPr>
              <w:t>13725341268</w:t>
            </w:r>
          </w:p>
        </w:tc>
        <w:tc>
          <w:tcPr>
            <w:tcW w:w="1276" w:type="dxa"/>
            <w:vAlign w:val="center"/>
          </w:tcPr>
          <w:p>
            <w:pPr>
              <w:autoSpaceDE w:val="0"/>
              <w:autoSpaceDN w:val="0"/>
              <w:jc w:val="center"/>
              <w:rPr>
                <w:rFonts w:ascii="Times New Roman" w:hAnsi="Times New Roman" w:cs="Times New Roman" w:eastAsiaTheme="minorEastAsia"/>
                <w:kern w:val="2"/>
                <w:sz w:val="21"/>
                <w:szCs w:val="21"/>
                <w:lang w:val="zh-CN" w:eastAsia="zh-CN" w:bidi="zh-CN"/>
              </w:rPr>
            </w:pPr>
            <w:r>
              <w:rPr>
                <w:rFonts w:hint="eastAsia" w:ascii="Times New Roman" w:hAnsi="Times New Roman" w:cs="Times New Roman"/>
                <w:szCs w:val="21"/>
                <w:lang w:val="zh-CN" w:bidi="zh-CN"/>
              </w:rPr>
              <w:t>建设单位</w:t>
            </w:r>
          </w:p>
        </w:tc>
        <w:tc>
          <w:tcPr>
            <w:tcW w:w="2835" w:type="dxa"/>
            <w:vAlign w:val="center"/>
          </w:tcPr>
          <w:p>
            <w:pPr>
              <w:spacing w:line="360" w:lineRule="auto"/>
              <w:jc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val="en-US" w:eastAsia="zh-CN"/>
              </w:rPr>
              <w:t>440922197010204674</w:t>
            </w:r>
          </w:p>
        </w:tc>
        <w:tc>
          <w:tcPr>
            <w:tcW w:w="1206"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08" w:type="dxa"/>
            <w:vAlign w:val="center"/>
          </w:tcPr>
          <w:p>
            <w:pPr>
              <w:spacing w:line="360" w:lineRule="auto"/>
              <w:jc w:val="center"/>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eastAsia="zh-CN"/>
              </w:rPr>
              <w:t>谢党明</w:t>
            </w:r>
          </w:p>
        </w:tc>
        <w:tc>
          <w:tcPr>
            <w:tcW w:w="4096" w:type="dxa"/>
            <w:vAlign w:val="center"/>
          </w:tcPr>
          <w:p>
            <w:pPr>
              <w:autoSpaceDE w:val="0"/>
              <w:autoSpaceDN w:val="0"/>
              <w:jc w:val="center"/>
              <w:rPr>
                <w:rFonts w:hint="eastAsia" w:ascii="Times New Roman" w:hAnsi="Times New Roman" w:cs="Times New Roman" w:eastAsiaTheme="minorEastAsia"/>
                <w:kern w:val="2"/>
                <w:sz w:val="21"/>
                <w:szCs w:val="21"/>
                <w:lang w:val="zh-CN" w:eastAsia="zh-CN" w:bidi="zh-CN"/>
              </w:rPr>
            </w:pPr>
            <w:r>
              <w:rPr>
                <w:rFonts w:hint="eastAsia" w:ascii="Times New Roman" w:hAnsi="Times New Roman" w:cs="Times New Roman"/>
                <w:sz w:val="24"/>
                <w:szCs w:val="24"/>
                <w:lang w:eastAsia="zh-CN"/>
              </w:rPr>
              <w:t>佛山市宝能投资有限公司</w:t>
            </w:r>
          </w:p>
        </w:tc>
        <w:tc>
          <w:tcPr>
            <w:tcW w:w="1550" w:type="dxa"/>
            <w:vAlign w:val="center"/>
          </w:tcPr>
          <w:p>
            <w:pPr>
              <w:spacing w:line="360" w:lineRule="auto"/>
              <w:jc w:val="center"/>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eastAsia="zh-CN"/>
              </w:rPr>
              <w:t>机电工程师</w:t>
            </w:r>
          </w:p>
        </w:tc>
        <w:tc>
          <w:tcPr>
            <w:tcW w:w="1559" w:type="dxa"/>
            <w:vAlign w:val="center"/>
          </w:tcPr>
          <w:p>
            <w:pPr>
              <w:spacing w:line="360" w:lineRule="auto"/>
              <w:jc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val="en-US" w:eastAsia="zh-CN"/>
              </w:rPr>
              <w:t>13318374186</w:t>
            </w:r>
          </w:p>
        </w:tc>
        <w:tc>
          <w:tcPr>
            <w:tcW w:w="1276" w:type="dxa"/>
            <w:vAlign w:val="center"/>
          </w:tcPr>
          <w:p>
            <w:pPr>
              <w:autoSpaceDE w:val="0"/>
              <w:autoSpaceDN w:val="0"/>
              <w:jc w:val="center"/>
              <w:rPr>
                <w:rFonts w:ascii="Times New Roman" w:hAnsi="Times New Roman" w:cs="Times New Roman" w:eastAsiaTheme="minorEastAsia"/>
                <w:kern w:val="2"/>
                <w:sz w:val="21"/>
                <w:szCs w:val="21"/>
                <w:lang w:val="zh-CN" w:eastAsia="zh-CN" w:bidi="zh-CN"/>
              </w:rPr>
            </w:pPr>
            <w:r>
              <w:rPr>
                <w:rFonts w:hint="eastAsia" w:ascii="Times New Roman" w:hAnsi="Times New Roman" w:cs="Times New Roman"/>
                <w:szCs w:val="21"/>
                <w:lang w:val="zh-CN" w:bidi="zh-CN"/>
              </w:rPr>
              <w:t>建设单位</w:t>
            </w:r>
          </w:p>
        </w:tc>
        <w:tc>
          <w:tcPr>
            <w:tcW w:w="2835" w:type="dxa"/>
            <w:vAlign w:val="center"/>
          </w:tcPr>
          <w:p>
            <w:pPr>
              <w:spacing w:line="360" w:lineRule="auto"/>
              <w:jc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val="en-US" w:eastAsia="zh-CN"/>
              </w:rPr>
              <w:t>44142419720606557X</w:t>
            </w:r>
          </w:p>
        </w:tc>
        <w:tc>
          <w:tcPr>
            <w:tcW w:w="1206"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08" w:type="dxa"/>
            <w:vAlign w:val="center"/>
          </w:tcPr>
          <w:p>
            <w:pPr>
              <w:spacing w:line="360" w:lineRule="auto"/>
              <w:jc w:val="center"/>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eastAsia="zh-CN"/>
              </w:rPr>
              <w:t>林春燕</w:t>
            </w:r>
          </w:p>
        </w:tc>
        <w:tc>
          <w:tcPr>
            <w:tcW w:w="4096" w:type="dxa"/>
            <w:vAlign w:val="center"/>
          </w:tcPr>
          <w:p>
            <w:pPr>
              <w:autoSpaceDE w:val="0"/>
              <w:autoSpaceDN w:val="0"/>
              <w:jc w:val="center"/>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sz w:val="24"/>
                <w:szCs w:val="24"/>
                <w:lang w:eastAsia="zh-CN"/>
              </w:rPr>
              <w:t>佛山市宝能投资有限公司</w:t>
            </w:r>
          </w:p>
        </w:tc>
        <w:tc>
          <w:tcPr>
            <w:tcW w:w="1550" w:type="dxa"/>
            <w:vAlign w:val="center"/>
          </w:tcPr>
          <w:p>
            <w:pPr>
              <w:spacing w:line="360" w:lineRule="auto"/>
              <w:jc w:val="center"/>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eastAsia="zh-CN"/>
              </w:rPr>
              <w:t>报建经理</w:t>
            </w:r>
          </w:p>
        </w:tc>
        <w:tc>
          <w:tcPr>
            <w:tcW w:w="1559" w:type="dxa"/>
            <w:vAlign w:val="center"/>
          </w:tcPr>
          <w:p>
            <w:pPr>
              <w:spacing w:line="360" w:lineRule="auto"/>
              <w:jc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val="en-US" w:eastAsia="zh-CN"/>
              </w:rPr>
              <w:t>13927261031</w:t>
            </w:r>
          </w:p>
        </w:tc>
        <w:tc>
          <w:tcPr>
            <w:tcW w:w="1276" w:type="dxa"/>
            <w:vAlign w:val="center"/>
          </w:tcPr>
          <w:p>
            <w:pPr>
              <w:autoSpaceDE w:val="0"/>
              <w:autoSpaceDN w:val="0"/>
              <w:jc w:val="center"/>
              <w:rPr>
                <w:rFonts w:ascii="Times New Roman" w:hAnsi="Times New Roman" w:cs="Times New Roman" w:eastAsiaTheme="minorEastAsia"/>
                <w:kern w:val="2"/>
                <w:sz w:val="21"/>
                <w:szCs w:val="21"/>
                <w:lang w:val="en-US" w:eastAsia="zh-CN" w:bidi="zh-CN"/>
              </w:rPr>
            </w:pPr>
            <w:r>
              <w:rPr>
                <w:rFonts w:hint="eastAsia" w:ascii="Times New Roman" w:hAnsi="Times New Roman" w:cs="Times New Roman"/>
                <w:szCs w:val="21"/>
                <w:lang w:val="zh-CN" w:bidi="zh-CN"/>
              </w:rPr>
              <w:t>建设单位</w:t>
            </w:r>
          </w:p>
        </w:tc>
        <w:tc>
          <w:tcPr>
            <w:tcW w:w="2835" w:type="dxa"/>
            <w:vAlign w:val="center"/>
          </w:tcPr>
          <w:p>
            <w:pPr>
              <w:spacing w:line="360" w:lineRule="auto"/>
              <w:jc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val="en-US" w:eastAsia="zh-CN"/>
              </w:rPr>
              <w:t>440881198909127127</w:t>
            </w:r>
          </w:p>
        </w:tc>
        <w:tc>
          <w:tcPr>
            <w:tcW w:w="1206"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08" w:type="dxa"/>
            <w:vAlign w:val="center"/>
          </w:tcPr>
          <w:p>
            <w:pPr>
              <w:spacing w:line="360" w:lineRule="auto"/>
              <w:jc w:val="center"/>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eastAsia="zh-CN"/>
              </w:rPr>
              <w:t>黎文杰</w:t>
            </w:r>
          </w:p>
        </w:tc>
        <w:tc>
          <w:tcPr>
            <w:tcW w:w="4096" w:type="dxa"/>
            <w:vAlign w:val="center"/>
          </w:tcPr>
          <w:p>
            <w:pPr>
              <w:autoSpaceDE w:val="0"/>
              <w:autoSpaceDN w:val="0"/>
              <w:jc w:val="center"/>
              <w:rPr>
                <w:rFonts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rPr>
              <w:t>广</w:t>
            </w:r>
            <w:r>
              <w:rPr>
                <w:rFonts w:hint="eastAsia" w:ascii="Times New Roman" w:hAnsi="Times New Roman" w:cs="Times New Roman"/>
                <w:sz w:val="24"/>
                <w:szCs w:val="24"/>
              </w:rPr>
              <w:t>东顺德环境科学研究院有限公司</w:t>
            </w:r>
          </w:p>
        </w:tc>
        <w:tc>
          <w:tcPr>
            <w:tcW w:w="1550" w:type="dxa"/>
            <w:vAlign w:val="center"/>
          </w:tcPr>
          <w:p>
            <w:pPr>
              <w:spacing w:line="360" w:lineRule="auto"/>
              <w:jc w:val="center"/>
              <w:rPr>
                <w:rFonts w:hint="eastAsia"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eastAsia="zh-CN"/>
              </w:rPr>
              <w:t>编制工程师</w:t>
            </w:r>
          </w:p>
        </w:tc>
        <w:tc>
          <w:tcPr>
            <w:tcW w:w="1559" w:type="dxa"/>
            <w:vAlign w:val="center"/>
          </w:tcPr>
          <w:p>
            <w:pPr>
              <w:spacing w:line="360" w:lineRule="auto"/>
              <w:jc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lang w:val="en-US" w:eastAsia="zh-CN"/>
              </w:rPr>
              <w:t>18988546754</w:t>
            </w:r>
          </w:p>
        </w:tc>
        <w:tc>
          <w:tcPr>
            <w:tcW w:w="1276" w:type="dxa"/>
            <w:vAlign w:val="center"/>
          </w:tcPr>
          <w:p>
            <w:pPr>
              <w:autoSpaceDE w:val="0"/>
              <w:autoSpaceDN w:val="0"/>
              <w:jc w:val="center"/>
              <w:rPr>
                <w:rFonts w:ascii="Times New Roman" w:hAnsi="Times New Roman" w:cs="Times New Roman" w:eastAsiaTheme="minorEastAsia"/>
                <w:kern w:val="2"/>
                <w:sz w:val="21"/>
                <w:szCs w:val="21"/>
                <w:lang w:val="zh-CN" w:eastAsia="zh-CN" w:bidi="zh-CN"/>
              </w:rPr>
            </w:pPr>
            <w:r>
              <w:rPr>
                <w:rFonts w:hint="eastAsia" w:ascii="Times New Roman" w:hAnsi="Times New Roman" w:cs="Times New Roman"/>
                <w:szCs w:val="21"/>
                <w:lang w:val="zh-CN" w:bidi="zh-CN"/>
              </w:rPr>
              <w:t>编制单位</w:t>
            </w:r>
          </w:p>
        </w:tc>
        <w:tc>
          <w:tcPr>
            <w:tcW w:w="2835" w:type="dxa"/>
            <w:vAlign w:val="center"/>
          </w:tcPr>
          <w:p>
            <w:pPr>
              <w:spacing w:line="360" w:lineRule="auto"/>
              <w:jc w:val="center"/>
              <w:rPr>
                <w:rFonts w:ascii="Times New Roman" w:hAnsi="Times New Roman" w:cs="Times New Roman" w:eastAsiaTheme="minorEastAsia"/>
                <w:kern w:val="2"/>
                <w:sz w:val="21"/>
                <w:szCs w:val="21"/>
                <w:lang w:val="en-US" w:eastAsia="zh-CN" w:bidi="ar-SA"/>
              </w:rPr>
            </w:pPr>
            <w:r>
              <w:rPr>
                <w:rFonts w:hint="eastAsia" w:ascii="Times New Roman" w:hAnsi="Times New Roman" w:cs="Times New Roman"/>
                <w:szCs w:val="21"/>
              </w:rPr>
              <w:t>44068119970912315X</w:t>
            </w:r>
          </w:p>
        </w:tc>
        <w:tc>
          <w:tcPr>
            <w:tcW w:w="1206" w:type="dxa"/>
            <w:vAlign w:val="center"/>
          </w:tcPr>
          <w:p>
            <w:pPr>
              <w:spacing w:line="360" w:lineRule="auto"/>
              <w:jc w:val="center"/>
              <w:rPr>
                <w:rFonts w:ascii="Times New Roman" w:hAnsi="Times New Roman" w:cs="Times New Roman"/>
                <w:szCs w:val="21"/>
              </w:rPr>
            </w:pPr>
          </w:p>
        </w:tc>
      </w:tr>
    </w:tbl>
    <w:p>
      <w:pPr>
        <w:jc w:val="center"/>
      </w:pPr>
    </w:p>
    <w:p>
      <w:pPr>
        <w:spacing w:line="480" w:lineRule="auto"/>
        <w:ind w:firstLine="480" w:firstLineChars="200"/>
        <w:rPr>
          <w:rFonts w:ascii="Times New Roman" w:hAnsi="Times New Roman" w:cs="Times New Roman"/>
          <w:sz w:val="24"/>
          <w:szCs w:val="24"/>
        </w:rPr>
      </w:pPr>
    </w:p>
    <w:p>
      <w:pPr>
        <w:spacing w:line="480" w:lineRule="auto"/>
        <w:ind w:firstLine="420" w:firstLineChars="200"/>
        <w:jc w:val="right"/>
        <w:rPr>
          <w:rFonts w:cs="Times New Roman" w:asciiTheme="minorEastAsia" w:hAnsiTheme="minorEastAsia"/>
          <w:szCs w:val="21"/>
        </w:rPr>
      </w:pPr>
    </w:p>
    <w:sectPr>
      <w:pgSz w:w="16838" w:h="11906" w:orient="landscape"/>
      <w:pgMar w:top="1588" w:right="2098" w:bottom="1474" w:left="1417"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1"/>
        <w:szCs w:val="21"/>
      </w:rPr>
    </w:pPr>
    <w:r>
      <w:rPr>
        <w:rFonts w:hint="eastAsia"/>
        <w:sz w:val="21"/>
        <w:szCs w:val="21"/>
      </w:rPr>
      <w:t>验收组成员签名：</w: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1321" w:h="357" w:hRule="exact" w:wrap="around" w:vAnchor="page" w:hAnchor="page" w:x="1589" w:y="15671"/>
      <w:rPr>
        <w:rStyle w:val="18"/>
        <w:rFonts w:ascii="宋体" w:hAnsi="宋体"/>
        <w:sz w:val="28"/>
      </w:rPr>
    </w:pPr>
    <w:r>
      <w:rPr>
        <w:rStyle w:val="18"/>
        <w:rFonts w:hint="eastAsia" w:ascii="宋体" w:hAnsi="宋体"/>
        <w:sz w:val="28"/>
      </w:rPr>
      <w:t>—</w:t>
    </w:r>
    <w:r>
      <w:rPr>
        <w:rFonts w:ascii="宋体" w:hAnsi="宋体"/>
        <w:sz w:val="28"/>
      </w:rPr>
      <w:fldChar w:fldCharType="begin"/>
    </w:r>
    <w:r>
      <w:rPr>
        <w:rStyle w:val="18"/>
        <w:rFonts w:ascii="宋体" w:hAnsi="宋体"/>
        <w:sz w:val="28"/>
      </w:rPr>
      <w:instrText xml:space="preserve">PAGE  </w:instrText>
    </w:r>
    <w:r>
      <w:rPr>
        <w:rFonts w:ascii="宋体" w:hAnsi="宋体"/>
        <w:sz w:val="28"/>
      </w:rPr>
      <w:fldChar w:fldCharType="separate"/>
    </w:r>
    <w:r>
      <w:rPr>
        <w:rStyle w:val="18"/>
        <w:rFonts w:ascii="宋体" w:hAnsi="宋体"/>
        <w:sz w:val="28"/>
      </w:rPr>
      <w:t>2</w:t>
    </w:r>
    <w:r>
      <w:rPr>
        <w:rFonts w:ascii="宋体" w:hAnsi="宋体"/>
        <w:sz w:val="28"/>
      </w:rPr>
      <w:fldChar w:fldCharType="end"/>
    </w:r>
    <w:r>
      <w:rPr>
        <w:rStyle w:val="18"/>
        <w:rFonts w:hint="eastAsia" w:ascii="宋体" w:hAnsi="宋体"/>
        <w:sz w:val="28"/>
      </w:rPr>
      <w:t>—</w: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Style w:val="18"/>
        <w:rFonts w:ascii="宋体" w:hAnsi="宋体"/>
        <w:sz w:val="28"/>
      </w:rPr>
    </w:pPr>
    <w:r>
      <w:rPr>
        <w:rFonts w:hint="eastAsia"/>
      </w:rPr>
      <w:t xml:space="preserve">                                                          </w:t>
    </w:r>
    <w:r>
      <w:tab/>
    </w:r>
  </w:p>
  <w:p>
    <w:pPr>
      <w:pStyle w:val="8"/>
      <w:tabs>
        <w:tab w:val="left" w:pos="8145"/>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1252096"/>
    <w:rsid w:val="000017EE"/>
    <w:rsid w:val="00022634"/>
    <w:rsid w:val="000257D5"/>
    <w:rsid w:val="00033664"/>
    <w:rsid w:val="00072FD9"/>
    <w:rsid w:val="00111D62"/>
    <w:rsid w:val="0016508B"/>
    <w:rsid w:val="00174BE3"/>
    <w:rsid w:val="001826FA"/>
    <w:rsid w:val="001A579B"/>
    <w:rsid w:val="001F7334"/>
    <w:rsid w:val="00270C26"/>
    <w:rsid w:val="00276A28"/>
    <w:rsid w:val="002D3200"/>
    <w:rsid w:val="002E0F7C"/>
    <w:rsid w:val="00301F7E"/>
    <w:rsid w:val="00303130"/>
    <w:rsid w:val="00344571"/>
    <w:rsid w:val="0038249D"/>
    <w:rsid w:val="003923A3"/>
    <w:rsid w:val="003E0E1F"/>
    <w:rsid w:val="00446147"/>
    <w:rsid w:val="00461475"/>
    <w:rsid w:val="004B7955"/>
    <w:rsid w:val="005066F2"/>
    <w:rsid w:val="005161F9"/>
    <w:rsid w:val="00572D0D"/>
    <w:rsid w:val="00573A4A"/>
    <w:rsid w:val="005873F6"/>
    <w:rsid w:val="005C45EF"/>
    <w:rsid w:val="005E0C01"/>
    <w:rsid w:val="005F17C5"/>
    <w:rsid w:val="005F22E6"/>
    <w:rsid w:val="00612AC7"/>
    <w:rsid w:val="00765047"/>
    <w:rsid w:val="007B0BD6"/>
    <w:rsid w:val="00812CAC"/>
    <w:rsid w:val="00882585"/>
    <w:rsid w:val="008A3697"/>
    <w:rsid w:val="008C679E"/>
    <w:rsid w:val="008D0022"/>
    <w:rsid w:val="009069DF"/>
    <w:rsid w:val="00980E55"/>
    <w:rsid w:val="00993726"/>
    <w:rsid w:val="009F36C7"/>
    <w:rsid w:val="00A05440"/>
    <w:rsid w:val="00A744A1"/>
    <w:rsid w:val="00AA79C5"/>
    <w:rsid w:val="00B531F5"/>
    <w:rsid w:val="00BA2B41"/>
    <w:rsid w:val="00BD5732"/>
    <w:rsid w:val="00BE1B10"/>
    <w:rsid w:val="00C242F3"/>
    <w:rsid w:val="00C701BD"/>
    <w:rsid w:val="00CA7B9A"/>
    <w:rsid w:val="00CD0725"/>
    <w:rsid w:val="00D26BE7"/>
    <w:rsid w:val="00D32BA6"/>
    <w:rsid w:val="00D96BC0"/>
    <w:rsid w:val="00E04295"/>
    <w:rsid w:val="00E86AF1"/>
    <w:rsid w:val="00EA1334"/>
    <w:rsid w:val="00EA3DEF"/>
    <w:rsid w:val="00EA3F61"/>
    <w:rsid w:val="00EC13BE"/>
    <w:rsid w:val="00EE5DD0"/>
    <w:rsid w:val="00EF338B"/>
    <w:rsid w:val="00F81D90"/>
    <w:rsid w:val="00FC13D0"/>
    <w:rsid w:val="00FD5FDE"/>
    <w:rsid w:val="02D10C1E"/>
    <w:rsid w:val="06707A1C"/>
    <w:rsid w:val="076A1119"/>
    <w:rsid w:val="087273A0"/>
    <w:rsid w:val="0E83503C"/>
    <w:rsid w:val="0FD73888"/>
    <w:rsid w:val="109D289E"/>
    <w:rsid w:val="12180977"/>
    <w:rsid w:val="130C6B68"/>
    <w:rsid w:val="14897292"/>
    <w:rsid w:val="18226CB2"/>
    <w:rsid w:val="18FB19DD"/>
    <w:rsid w:val="1A0E55C8"/>
    <w:rsid w:val="1B420683"/>
    <w:rsid w:val="1B8B5D2E"/>
    <w:rsid w:val="1DB448A7"/>
    <w:rsid w:val="1E3043E9"/>
    <w:rsid w:val="1E4D0F3E"/>
    <w:rsid w:val="1FAA616C"/>
    <w:rsid w:val="25745971"/>
    <w:rsid w:val="270318A8"/>
    <w:rsid w:val="2B712A6A"/>
    <w:rsid w:val="31A1386B"/>
    <w:rsid w:val="34C3149D"/>
    <w:rsid w:val="36827395"/>
    <w:rsid w:val="377B24E4"/>
    <w:rsid w:val="38047633"/>
    <w:rsid w:val="38111199"/>
    <w:rsid w:val="39560B9C"/>
    <w:rsid w:val="3C401DFC"/>
    <w:rsid w:val="3E6D13D1"/>
    <w:rsid w:val="41252096"/>
    <w:rsid w:val="43887F08"/>
    <w:rsid w:val="444C096B"/>
    <w:rsid w:val="46D02B68"/>
    <w:rsid w:val="47403DBD"/>
    <w:rsid w:val="47CC130E"/>
    <w:rsid w:val="487A704F"/>
    <w:rsid w:val="48BB0AA8"/>
    <w:rsid w:val="4C3E4E2F"/>
    <w:rsid w:val="4F6933B4"/>
    <w:rsid w:val="507B29EE"/>
    <w:rsid w:val="523F238F"/>
    <w:rsid w:val="555520A1"/>
    <w:rsid w:val="57940338"/>
    <w:rsid w:val="5B3A0B2F"/>
    <w:rsid w:val="5B7249D7"/>
    <w:rsid w:val="5E8558ED"/>
    <w:rsid w:val="5EE4126E"/>
    <w:rsid w:val="617B12B8"/>
    <w:rsid w:val="639C6A7F"/>
    <w:rsid w:val="6A1B3484"/>
    <w:rsid w:val="6F0E3C8E"/>
    <w:rsid w:val="71405133"/>
    <w:rsid w:val="739302E1"/>
    <w:rsid w:val="73D409FA"/>
    <w:rsid w:val="75061D06"/>
    <w:rsid w:val="773426FD"/>
    <w:rsid w:val="79AC1FAC"/>
    <w:rsid w:val="7A6A16C5"/>
    <w:rsid w:val="7EA718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360" w:lineRule="auto"/>
      <w:ind w:firstLine="480" w:firstLineChars="200"/>
    </w:pPr>
    <w:rPr>
      <w:sz w:val="24"/>
      <w:szCs w:val="20"/>
    </w:rPr>
  </w:style>
  <w:style w:type="paragraph" w:styleId="3">
    <w:name w:val="Document Map"/>
    <w:basedOn w:val="1"/>
    <w:link w:val="19"/>
    <w:qFormat/>
    <w:uiPriority w:val="0"/>
    <w:rPr>
      <w:rFonts w:ascii="宋体" w:eastAsia="宋体"/>
      <w:sz w:val="18"/>
      <w:szCs w:val="18"/>
    </w:rPr>
  </w:style>
  <w:style w:type="paragraph" w:styleId="4">
    <w:name w:val="annotation text"/>
    <w:basedOn w:val="1"/>
    <w:link w:val="25"/>
    <w:semiHidden/>
    <w:unhideWhenUsed/>
    <w:qFormat/>
    <w:uiPriority w:val="0"/>
    <w:pPr>
      <w:jc w:val="left"/>
    </w:pPr>
  </w:style>
  <w:style w:type="paragraph" w:styleId="5">
    <w:name w:val="Body Text Indent"/>
    <w:basedOn w:val="1"/>
    <w:qFormat/>
    <w:uiPriority w:val="0"/>
    <w:pPr>
      <w:ind w:left="359" w:leftChars="171"/>
    </w:pPr>
    <w:rPr>
      <w:sz w:val="48"/>
    </w:rPr>
  </w:style>
  <w:style w:type="paragraph" w:styleId="6">
    <w:name w:val="Date"/>
    <w:basedOn w:val="1"/>
    <w:next w:val="1"/>
    <w:link w:val="23"/>
    <w:qFormat/>
    <w:uiPriority w:val="0"/>
    <w:pPr>
      <w:ind w:left="100" w:leftChars="2500"/>
    </w:pPr>
  </w:style>
  <w:style w:type="paragraph" w:styleId="7">
    <w:name w:val="Balloon Text"/>
    <w:basedOn w:val="1"/>
    <w:link w:val="22"/>
    <w:qFormat/>
    <w:uiPriority w:val="0"/>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6"/>
    <w:semiHidden/>
    <w:unhideWhenUsed/>
    <w:qFormat/>
    <w:uiPriority w:val="99"/>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basedOn w:val="13"/>
    <w:semiHidden/>
    <w:unhideWhenUsed/>
    <w:qFormat/>
    <w:uiPriority w:val="0"/>
    <w:rPr>
      <w:sz w:val="21"/>
      <w:szCs w:val="21"/>
    </w:rPr>
  </w:style>
  <w:style w:type="paragraph" w:customStyle="1" w:styleId="15">
    <w:name w:val="正文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6">
    <w:name w:val="页脚 New"/>
    <w:basedOn w:val="17"/>
    <w:qFormat/>
    <w:uiPriority w:val="0"/>
    <w:pPr>
      <w:tabs>
        <w:tab w:val="center" w:pos="4153"/>
        <w:tab w:val="right" w:pos="8306"/>
      </w:tabs>
      <w:snapToGrid w:val="0"/>
      <w:jc w:val="left"/>
    </w:pPr>
    <w:rPr>
      <w:sz w:val="18"/>
      <w:szCs w:val="18"/>
    </w:rPr>
  </w:style>
  <w:style w:type="paragraph" w:customStyle="1" w:styleId="17">
    <w:name w:val="正文 New"/>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18">
    <w:name w:val="页码 New"/>
    <w:basedOn w:val="13"/>
    <w:qFormat/>
    <w:uiPriority w:val="0"/>
  </w:style>
  <w:style w:type="character" w:customStyle="1" w:styleId="19">
    <w:name w:val="文档结构图 Char"/>
    <w:basedOn w:val="13"/>
    <w:link w:val="3"/>
    <w:qFormat/>
    <w:uiPriority w:val="0"/>
    <w:rPr>
      <w:rFonts w:ascii="宋体" w:eastAsia="宋体"/>
      <w:kern w:val="2"/>
      <w:sz w:val="18"/>
      <w:szCs w:val="18"/>
    </w:rPr>
  </w:style>
  <w:style w:type="character" w:customStyle="1" w:styleId="20">
    <w:name w:val="页眉 Char"/>
    <w:basedOn w:val="13"/>
    <w:link w:val="9"/>
    <w:qFormat/>
    <w:uiPriority w:val="0"/>
    <w:rPr>
      <w:kern w:val="2"/>
      <w:sz w:val="18"/>
      <w:szCs w:val="18"/>
    </w:rPr>
  </w:style>
  <w:style w:type="character" w:customStyle="1" w:styleId="21">
    <w:name w:val="页脚 Char"/>
    <w:basedOn w:val="13"/>
    <w:link w:val="8"/>
    <w:qFormat/>
    <w:uiPriority w:val="99"/>
    <w:rPr>
      <w:kern w:val="2"/>
      <w:sz w:val="18"/>
      <w:szCs w:val="18"/>
    </w:rPr>
  </w:style>
  <w:style w:type="character" w:customStyle="1" w:styleId="22">
    <w:name w:val="批注框文本 Char"/>
    <w:basedOn w:val="13"/>
    <w:link w:val="7"/>
    <w:qFormat/>
    <w:uiPriority w:val="0"/>
    <w:rPr>
      <w:kern w:val="2"/>
      <w:sz w:val="18"/>
      <w:szCs w:val="18"/>
    </w:rPr>
  </w:style>
  <w:style w:type="character" w:customStyle="1" w:styleId="23">
    <w:name w:val="日期 Char"/>
    <w:basedOn w:val="13"/>
    <w:link w:val="6"/>
    <w:qFormat/>
    <w:uiPriority w:val="0"/>
    <w:rPr>
      <w:kern w:val="2"/>
      <w:sz w:val="21"/>
      <w:szCs w:val="22"/>
    </w:rPr>
  </w:style>
  <w:style w:type="table" w:customStyle="1" w:styleId="24">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25">
    <w:name w:val="批注文字 Char"/>
    <w:basedOn w:val="13"/>
    <w:link w:val="4"/>
    <w:semiHidden/>
    <w:qFormat/>
    <w:uiPriority w:val="0"/>
    <w:rPr>
      <w:rFonts w:asciiTheme="minorHAnsi" w:hAnsiTheme="minorHAnsi" w:eastAsiaTheme="minorEastAsia" w:cstheme="minorBidi"/>
      <w:kern w:val="2"/>
      <w:sz w:val="21"/>
      <w:szCs w:val="22"/>
    </w:rPr>
  </w:style>
  <w:style w:type="character" w:customStyle="1" w:styleId="26">
    <w:name w:val="批注主题 Char"/>
    <w:basedOn w:val="25"/>
    <w:link w:val="10"/>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5947FA-D350-40D9-BAF8-A5442D80BBA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2100</Words>
  <Characters>256</Characters>
  <Lines>2</Lines>
  <Paragraphs>4</Paragraphs>
  <TotalTime>3</TotalTime>
  <ScaleCrop>false</ScaleCrop>
  <LinksUpToDate>false</LinksUpToDate>
  <CharactersWithSpaces>2352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2017-11-27T11:49:00Z</dcterms:created>
  <dc:creator>Administrator</dc:creator>
  <cp:lastModifiedBy>li</cp:lastModifiedBy>
  <cp:lastPrinted>2018-05-15T05:02:00Z</cp:lastPrinted>
  <dcterms:modified xsi:type="dcterms:W3CDTF">2020-07-31T10:45:55Z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